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38" w:rsidRDefault="00034938" w:rsidP="00034938">
      <w:pPr>
        <w:spacing w:line="276" w:lineRule="auto"/>
        <w:rPr>
          <w:rFonts w:ascii="Arial" w:hAnsi="Arial" w:cs="Arial"/>
          <w:b/>
        </w:rPr>
      </w:pPr>
    </w:p>
    <w:p w:rsidR="00B73B3E" w:rsidRDefault="009777F4" w:rsidP="00034938">
      <w:pPr>
        <w:spacing w:line="276" w:lineRule="auto"/>
        <w:jc w:val="center"/>
        <w:rPr>
          <w:rFonts w:ascii="Arial" w:hAnsi="Arial" w:cs="Arial"/>
          <w:b/>
          <w:sz w:val="48"/>
          <w:szCs w:val="48"/>
        </w:rPr>
      </w:pPr>
      <w:r w:rsidRPr="00972CDD">
        <w:rPr>
          <w:rFonts w:ascii="Arial" w:hAnsi="Arial" w:cs="Arial"/>
          <w:b/>
          <w:sz w:val="48"/>
          <w:szCs w:val="48"/>
        </w:rPr>
        <w:t>Trámites y Servicios</w:t>
      </w:r>
    </w:p>
    <w:p w:rsidR="00034938" w:rsidRPr="00972CDD" w:rsidRDefault="00034938" w:rsidP="00034938">
      <w:pPr>
        <w:spacing w:line="276" w:lineRule="auto"/>
        <w:jc w:val="center"/>
        <w:rPr>
          <w:rFonts w:ascii="Arial" w:hAnsi="Arial" w:cs="Arial"/>
          <w:b/>
          <w:sz w:val="48"/>
          <w:szCs w:val="48"/>
        </w:rPr>
      </w:pPr>
    </w:p>
    <w:p w:rsidR="00AE63F0" w:rsidRPr="005F7C78" w:rsidRDefault="00CA30BB" w:rsidP="00AE63F0">
      <w:pPr>
        <w:spacing w:line="276" w:lineRule="auto"/>
        <w:rPr>
          <w:rFonts w:ascii="Arial" w:hAnsi="Arial" w:cs="Arial"/>
          <w:b/>
        </w:rPr>
      </w:pPr>
      <w:r w:rsidRPr="005F7C78">
        <w:rPr>
          <w:rFonts w:ascii="Arial" w:hAnsi="Arial" w:cs="Arial"/>
          <w:b/>
        </w:rPr>
        <w:t>Dirección: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E63F0" w:rsidRPr="005F7C78" w:rsidTr="007A6514">
        <w:tc>
          <w:tcPr>
            <w:tcW w:w="8828" w:type="dxa"/>
          </w:tcPr>
          <w:p w:rsidR="00AE63F0" w:rsidRPr="005F7C78" w:rsidRDefault="00AE63F0" w:rsidP="007A651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F7C78">
              <w:rPr>
                <w:rFonts w:ascii="Arial" w:hAnsi="Arial" w:cs="Arial"/>
              </w:rPr>
              <w:t>Instituto Municipal de la Juventud en Tlaquepaque.</w:t>
            </w:r>
          </w:p>
        </w:tc>
      </w:tr>
    </w:tbl>
    <w:p w:rsidR="00AE63F0" w:rsidRPr="005F7C78" w:rsidRDefault="00AE63F0" w:rsidP="00972CDD">
      <w:pPr>
        <w:spacing w:line="276" w:lineRule="auto"/>
        <w:rPr>
          <w:rFonts w:ascii="Arial" w:hAnsi="Arial" w:cs="Arial"/>
          <w:b/>
        </w:rPr>
      </w:pPr>
    </w:p>
    <w:p w:rsidR="00AE63F0" w:rsidRPr="005F7C78" w:rsidRDefault="00DD5550" w:rsidP="00AE63F0">
      <w:pPr>
        <w:spacing w:line="276" w:lineRule="auto"/>
        <w:rPr>
          <w:rFonts w:ascii="Arial" w:hAnsi="Arial" w:cs="Arial"/>
          <w:b/>
        </w:rPr>
      </w:pPr>
      <w:r w:rsidRPr="005F7C78">
        <w:rPr>
          <w:rFonts w:ascii="Arial" w:hAnsi="Arial" w:cs="Arial"/>
          <w:b/>
        </w:rPr>
        <w:t>Área</w:t>
      </w:r>
      <w:r w:rsidR="00A16587" w:rsidRPr="005F7C78">
        <w:rPr>
          <w:rFonts w:ascii="Arial" w:hAnsi="Arial" w:cs="Arial"/>
          <w:b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E63F0" w:rsidRPr="005F7C78" w:rsidTr="007A6514">
        <w:tc>
          <w:tcPr>
            <w:tcW w:w="8828" w:type="dxa"/>
          </w:tcPr>
          <w:p w:rsidR="00AE63F0" w:rsidRPr="005F7C78" w:rsidRDefault="00AE63F0" w:rsidP="007A651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F7C78">
              <w:rPr>
                <w:rFonts w:ascii="Arial" w:hAnsi="Arial" w:cs="Arial"/>
              </w:rPr>
              <w:t>Unidad de Transparencia.</w:t>
            </w:r>
          </w:p>
        </w:tc>
      </w:tr>
    </w:tbl>
    <w:p w:rsidR="00DD5550" w:rsidRPr="005F7C78" w:rsidRDefault="00DD5550" w:rsidP="00972CDD">
      <w:pPr>
        <w:spacing w:line="276" w:lineRule="auto"/>
        <w:jc w:val="both"/>
        <w:rPr>
          <w:rFonts w:ascii="Arial" w:hAnsi="Arial" w:cs="Arial"/>
          <w:b/>
        </w:rPr>
      </w:pPr>
    </w:p>
    <w:p w:rsidR="002360B0" w:rsidRPr="005F7C78" w:rsidRDefault="00A16587" w:rsidP="00972CDD">
      <w:pPr>
        <w:spacing w:line="276" w:lineRule="auto"/>
        <w:jc w:val="both"/>
        <w:rPr>
          <w:rFonts w:ascii="Arial" w:hAnsi="Arial" w:cs="Arial"/>
          <w:b/>
        </w:rPr>
      </w:pPr>
      <w:r w:rsidRPr="005F7C78">
        <w:rPr>
          <w:rFonts w:ascii="Arial" w:hAnsi="Arial" w:cs="Arial"/>
          <w:b/>
        </w:rPr>
        <w:t>Nombre del t</w:t>
      </w:r>
      <w:r w:rsidR="00AD45A5" w:rsidRPr="005F7C78">
        <w:rPr>
          <w:rFonts w:ascii="Arial" w:hAnsi="Arial" w:cs="Arial"/>
          <w:b/>
        </w:rPr>
        <w:t>rámite</w:t>
      </w:r>
      <w:r w:rsidR="002360B0" w:rsidRPr="005F7C78">
        <w:rPr>
          <w:rFonts w:ascii="Arial" w:hAnsi="Arial" w:cs="Arial"/>
          <w:b/>
        </w:rPr>
        <w:t xml:space="preserve"> o servicio: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D5550" w:rsidRPr="005F7C78" w:rsidTr="00DD5550">
        <w:tc>
          <w:tcPr>
            <w:tcW w:w="8828" w:type="dxa"/>
          </w:tcPr>
          <w:p w:rsidR="00F8629E" w:rsidRPr="005F7C78" w:rsidRDefault="00B6634F" w:rsidP="00775EC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F7C78">
              <w:rPr>
                <w:rFonts w:ascii="Arial" w:hAnsi="Arial" w:cs="Arial"/>
              </w:rPr>
              <w:t>Solicitud</w:t>
            </w:r>
            <w:r w:rsidR="003B1C4C" w:rsidRPr="005F7C78">
              <w:rPr>
                <w:rFonts w:ascii="Arial" w:hAnsi="Arial" w:cs="Arial"/>
              </w:rPr>
              <w:t>es</w:t>
            </w:r>
            <w:r w:rsidRPr="005F7C78">
              <w:rPr>
                <w:rFonts w:ascii="Arial" w:hAnsi="Arial" w:cs="Arial"/>
              </w:rPr>
              <w:t xml:space="preserve"> de </w:t>
            </w:r>
            <w:r w:rsidR="00AC7586">
              <w:rPr>
                <w:rFonts w:ascii="Arial" w:hAnsi="Arial" w:cs="Arial"/>
              </w:rPr>
              <w:t xml:space="preserve">Recurso de </w:t>
            </w:r>
            <w:r w:rsidR="00775EC2">
              <w:rPr>
                <w:rFonts w:ascii="Arial" w:hAnsi="Arial" w:cs="Arial"/>
              </w:rPr>
              <w:t>Impugnación</w:t>
            </w:r>
            <w:r w:rsidR="000B087E">
              <w:rPr>
                <w:rFonts w:ascii="Arial" w:hAnsi="Arial" w:cs="Arial"/>
              </w:rPr>
              <w:t>.</w:t>
            </w:r>
          </w:p>
        </w:tc>
      </w:tr>
    </w:tbl>
    <w:p w:rsidR="00DD5550" w:rsidRPr="005F7C78" w:rsidRDefault="00DD5550" w:rsidP="00972CDD">
      <w:pPr>
        <w:spacing w:line="276" w:lineRule="auto"/>
        <w:jc w:val="both"/>
        <w:rPr>
          <w:rFonts w:ascii="Arial" w:hAnsi="Arial" w:cs="Arial"/>
          <w:b/>
        </w:rPr>
      </w:pPr>
    </w:p>
    <w:p w:rsidR="00DD5550" w:rsidRPr="005F7C78" w:rsidRDefault="002360B0" w:rsidP="00972CDD">
      <w:pPr>
        <w:spacing w:line="276" w:lineRule="auto"/>
        <w:jc w:val="both"/>
        <w:rPr>
          <w:rFonts w:ascii="Arial" w:hAnsi="Arial" w:cs="Arial"/>
          <w:b/>
        </w:rPr>
      </w:pPr>
      <w:r w:rsidRPr="005F7C78">
        <w:rPr>
          <w:rFonts w:ascii="Arial" w:hAnsi="Arial" w:cs="Arial"/>
          <w:b/>
        </w:rPr>
        <w:t>Horario de atención: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D5550" w:rsidRPr="005F7C78" w:rsidTr="00DD5550">
        <w:tc>
          <w:tcPr>
            <w:tcW w:w="8828" w:type="dxa"/>
          </w:tcPr>
          <w:p w:rsidR="00F8629E" w:rsidRPr="005F7C78" w:rsidRDefault="00A9241E" w:rsidP="00A9241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Lunes a viernes de </w:t>
            </w:r>
            <w:r w:rsidRPr="005F7C78">
              <w:rPr>
                <w:rFonts w:ascii="Arial" w:hAnsi="Arial" w:cs="Arial"/>
              </w:rPr>
              <w:t>09:00 a 15:00 horas.</w:t>
            </w:r>
            <w:r w:rsidR="00921DBE" w:rsidRPr="005F7C78">
              <w:rPr>
                <w:rFonts w:ascii="Arial" w:hAnsi="Arial" w:cs="Arial"/>
              </w:rPr>
              <w:t xml:space="preserve"> </w:t>
            </w:r>
          </w:p>
        </w:tc>
      </w:tr>
    </w:tbl>
    <w:p w:rsidR="00AD45A5" w:rsidRPr="005F7C78" w:rsidRDefault="00AD45A5" w:rsidP="00972CDD">
      <w:pPr>
        <w:spacing w:line="276" w:lineRule="auto"/>
        <w:jc w:val="both"/>
        <w:rPr>
          <w:rFonts w:ascii="Arial" w:hAnsi="Arial" w:cs="Arial"/>
          <w:b/>
        </w:rPr>
      </w:pPr>
    </w:p>
    <w:p w:rsidR="002360B0" w:rsidRPr="005F7C78" w:rsidRDefault="002360B0" w:rsidP="00972CDD">
      <w:pPr>
        <w:spacing w:line="276" w:lineRule="auto"/>
        <w:jc w:val="both"/>
        <w:rPr>
          <w:rFonts w:ascii="Arial" w:hAnsi="Arial" w:cs="Arial"/>
          <w:b/>
        </w:rPr>
      </w:pPr>
      <w:r w:rsidRPr="005F7C78">
        <w:rPr>
          <w:rFonts w:ascii="Arial" w:hAnsi="Arial" w:cs="Arial"/>
          <w:b/>
        </w:rPr>
        <w:t>Domicilio</w:t>
      </w:r>
      <w:r w:rsidR="00F8629E" w:rsidRPr="005F7C78">
        <w:rPr>
          <w:rFonts w:ascii="Arial" w:hAnsi="Arial" w:cs="Arial"/>
          <w:b/>
        </w:rPr>
        <w:t>, teléfono y correo electrónico</w:t>
      </w:r>
      <w:r w:rsidRPr="005F7C78">
        <w:rPr>
          <w:rFonts w:ascii="Arial" w:hAnsi="Arial" w:cs="Arial"/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D5550" w:rsidRPr="00D642EF" w:rsidTr="00DD5550">
        <w:tc>
          <w:tcPr>
            <w:tcW w:w="8828" w:type="dxa"/>
          </w:tcPr>
          <w:p w:rsidR="000439E0" w:rsidRPr="000B087E" w:rsidRDefault="000439E0" w:rsidP="00972CDD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5F7C78">
              <w:rPr>
                <w:rFonts w:ascii="Arial" w:hAnsi="Arial" w:cs="Arial"/>
              </w:rPr>
              <w:t xml:space="preserve">Prolongación Pedro de </w:t>
            </w:r>
            <w:proofErr w:type="spellStart"/>
            <w:r w:rsidRPr="005F7C78">
              <w:rPr>
                <w:rFonts w:ascii="Arial" w:hAnsi="Arial" w:cs="Arial"/>
              </w:rPr>
              <w:t>Ayza</w:t>
            </w:r>
            <w:proofErr w:type="spellEnd"/>
            <w:r w:rsidRPr="005F7C78">
              <w:rPr>
                <w:rFonts w:ascii="Arial" w:hAnsi="Arial" w:cs="Arial"/>
              </w:rPr>
              <w:t xml:space="preserve"> No. 195, Colonia Hidalgo, Municipio de San Pedro Tlaquepaque, Jalisco, México. </w:t>
            </w:r>
            <w:r w:rsidRPr="000B087E">
              <w:rPr>
                <w:rFonts w:ascii="Arial" w:hAnsi="Arial" w:cs="Arial"/>
                <w:lang w:val="en-US"/>
              </w:rPr>
              <w:t>C.P. 456540</w:t>
            </w:r>
          </w:p>
          <w:p w:rsidR="000439E0" w:rsidRPr="005F7C78" w:rsidRDefault="000439E0" w:rsidP="00972CDD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5F7C78">
              <w:rPr>
                <w:rFonts w:ascii="Arial" w:hAnsi="Arial" w:cs="Arial"/>
                <w:lang w:val="en-US"/>
              </w:rPr>
              <w:t>36575200, 33363561</w:t>
            </w:r>
          </w:p>
          <w:p w:rsidR="000439E0" w:rsidRPr="005F7C78" w:rsidRDefault="000439E0" w:rsidP="00972CDD">
            <w:pPr>
              <w:spacing w:line="276" w:lineRule="auto"/>
              <w:rPr>
                <w:rFonts w:ascii="Arial" w:eastAsia="Arial" w:hAnsi="Arial" w:cs="Arial"/>
                <w:lang w:val="en-US"/>
              </w:rPr>
            </w:pPr>
            <w:r w:rsidRPr="005F7C78">
              <w:rPr>
                <w:rFonts w:ascii="Arial" w:eastAsia="Arial" w:hAnsi="Arial" w:cs="Arial"/>
                <w:lang w:val="en-US"/>
              </w:rPr>
              <w:t>jovenestlaq@gmail.com</w:t>
            </w:r>
          </w:p>
          <w:p w:rsidR="00DD5550" w:rsidRPr="005F7C78" w:rsidRDefault="000439E0" w:rsidP="00972CDD">
            <w:pPr>
              <w:spacing w:line="276" w:lineRule="auto"/>
              <w:rPr>
                <w:rFonts w:ascii="Arial" w:eastAsia="Arial" w:hAnsi="Arial" w:cs="Arial"/>
                <w:lang w:val="en-US"/>
              </w:rPr>
            </w:pPr>
            <w:r w:rsidRPr="005F7C78">
              <w:rPr>
                <w:rFonts w:ascii="Arial" w:eastAsia="Arial" w:hAnsi="Arial" w:cs="Arial"/>
                <w:lang w:val="en-US"/>
              </w:rPr>
              <w:t>http://imjuve.tlaquepaque.gob.mx/</w:t>
            </w:r>
          </w:p>
        </w:tc>
      </w:tr>
    </w:tbl>
    <w:p w:rsidR="00DD5550" w:rsidRPr="005F7C78" w:rsidRDefault="00DD5550" w:rsidP="00972CDD">
      <w:pPr>
        <w:spacing w:line="276" w:lineRule="auto"/>
        <w:jc w:val="both"/>
        <w:rPr>
          <w:rFonts w:ascii="Arial" w:hAnsi="Arial" w:cs="Arial"/>
          <w:b/>
          <w:lang w:val="en-US"/>
        </w:rPr>
      </w:pPr>
    </w:p>
    <w:p w:rsidR="002360B0" w:rsidRPr="005F7C78" w:rsidRDefault="002360B0" w:rsidP="00972CDD">
      <w:pPr>
        <w:spacing w:line="276" w:lineRule="auto"/>
        <w:jc w:val="both"/>
        <w:rPr>
          <w:rFonts w:ascii="Arial" w:hAnsi="Arial" w:cs="Arial"/>
          <w:b/>
        </w:rPr>
      </w:pPr>
      <w:r w:rsidRPr="005F7C78">
        <w:rPr>
          <w:rFonts w:ascii="Arial" w:hAnsi="Arial" w:cs="Arial"/>
          <w:b/>
        </w:rPr>
        <w:t>Objetivo: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7057B" w:rsidRPr="005F7C78" w:rsidTr="00C7057B">
        <w:tc>
          <w:tcPr>
            <w:tcW w:w="8828" w:type="dxa"/>
          </w:tcPr>
          <w:p w:rsidR="00C7057B" w:rsidRPr="005F7C78" w:rsidRDefault="009537AC" w:rsidP="00D3526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5F7C78">
              <w:rPr>
                <w:rFonts w:ascii="Arial" w:hAnsi="Arial" w:cs="Arial"/>
              </w:rPr>
              <w:t>aranti</w:t>
            </w:r>
            <w:r>
              <w:rPr>
                <w:rFonts w:ascii="Arial" w:hAnsi="Arial" w:cs="Arial"/>
              </w:rPr>
              <w:t>zar</w:t>
            </w:r>
            <w:r w:rsidRPr="005F7C78">
              <w:rPr>
                <w:rFonts w:ascii="Arial" w:hAnsi="Arial" w:cs="Arial"/>
              </w:rPr>
              <w:t xml:space="preserve"> el derecho al acceso a la información de todos los ciudadanos que lo requieran, </w:t>
            </w:r>
            <w:r>
              <w:rPr>
                <w:rFonts w:ascii="Arial" w:hAnsi="Arial" w:cs="Arial"/>
              </w:rPr>
              <w:t>desarrollando los medios de</w:t>
            </w:r>
            <w:r w:rsidRPr="005F7C78">
              <w:rPr>
                <w:rFonts w:ascii="Arial" w:hAnsi="Arial" w:cs="Arial"/>
              </w:rPr>
              <w:t xml:space="preserve"> </w:t>
            </w:r>
            <w:r w:rsidR="00A15A4E">
              <w:rPr>
                <w:rFonts w:ascii="Arial" w:hAnsi="Arial" w:cs="Arial"/>
              </w:rPr>
              <w:t xml:space="preserve">impugnación por la omisión, negativa  o violación </w:t>
            </w:r>
            <w:r>
              <w:rPr>
                <w:rFonts w:ascii="Arial" w:hAnsi="Arial" w:cs="Arial"/>
              </w:rPr>
              <w:t>a</w:t>
            </w:r>
            <w:r w:rsidR="00A15A4E">
              <w:rPr>
                <w:rFonts w:ascii="Arial" w:hAnsi="Arial" w:cs="Arial"/>
              </w:rPr>
              <w:t xml:space="preserve"> los derechos al acceso o derechos arco de los ciudadanos </w:t>
            </w:r>
            <w:r w:rsidR="00D35267">
              <w:rPr>
                <w:rFonts w:ascii="Arial" w:hAnsi="Arial" w:cs="Arial"/>
              </w:rPr>
              <w:t>a</w:t>
            </w:r>
            <w:r w:rsidRPr="005F7C78">
              <w:rPr>
                <w:rFonts w:ascii="Arial" w:hAnsi="Arial" w:cs="Arial"/>
              </w:rPr>
              <w:t xml:space="preserve"> </w:t>
            </w:r>
            <w:r w:rsidR="00A15A4E">
              <w:rPr>
                <w:rFonts w:ascii="Arial" w:hAnsi="Arial" w:cs="Arial"/>
              </w:rPr>
              <w:t xml:space="preserve">la </w:t>
            </w:r>
            <w:r w:rsidRPr="005F7C78">
              <w:rPr>
                <w:rFonts w:ascii="Arial" w:hAnsi="Arial" w:cs="Arial"/>
              </w:rPr>
              <w:t xml:space="preserve">información que </w:t>
            </w:r>
            <w:r>
              <w:rPr>
                <w:rFonts w:ascii="Arial" w:hAnsi="Arial" w:cs="Arial"/>
              </w:rPr>
              <w:t xml:space="preserve">se </w:t>
            </w:r>
            <w:r w:rsidRPr="005F7C78">
              <w:rPr>
                <w:rFonts w:ascii="Arial" w:hAnsi="Arial" w:cs="Arial"/>
              </w:rPr>
              <w:t>genera, administra y posee e</w:t>
            </w:r>
            <w:r w:rsidR="00A15A4E">
              <w:rPr>
                <w:rFonts w:ascii="Arial" w:hAnsi="Arial" w:cs="Arial"/>
              </w:rPr>
              <w:t>l</w:t>
            </w:r>
            <w:r w:rsidRPr="005F7C78">
              <w:rPr>
                <w:rFonts w:ascii="Arial" w:hAnsi="Arial" w:cs="Arial"/>
              </w:rPr>
              <w:t xml:space="preserve"> Instituto Municipal de la Juventud en Tlaquepaque, de conformidad con lo establecido por la normatividad en la materia.</w:t>
            </w:r>
          </w:p>
        </w:tc>
      </w:tr>
    </w:tbl>
    <w:p w:rsidR="005457A9" w:rsidRPr="005F7C78" w:rsidRDefault="005457A9" w:rsidP="005457A9">
      <w:pPr>
        <w:spacing w:line="276" w:lineRule="auto"/>
        <w:jc w:val="both"/>
        <w:rPr>
          <w:rFonts w:ascii="Arial" w:hAnsi="Arial" w:cs="Arial"/>
          <w:b/>
        </w:rPr>
      </w:pPr>
    </w:p>
    <w:p w:rsidR="00034938" w:rsidRDefault="00034938" w:rsidP="005457A9">
      <w:pPr>
        <w:spacing w:line="276" w:lineRule="auto"/>
        <w:jc w:val="both"/>
        <w:rPr>
          <w:rFonts w:ascii="Arial" w:hAnsi="Arial" w:cs="Arial"/>
          <w:b/>
        </w:rPr>
      </w:pPr>
    </w:p>
    <w:p w:rsidR="005457A9" w:rsidRPr="005F7C78" w:rsidRDefault="005457A9" w:rsidP="005457A9">
      <w:pPr>
        <w:spacing w:line="276" w:lineRule="auto"/>
        <w:jc w:val="both"/>
        <w:rPr>
          <w:rFonts w:ascii="Arial" w:hAnsi="Arial" w:cs="Arial"/>
          <w:b/>
        </w:rPr>
      </w:pPr>
      <w:r w:rsidRPr="005F7C78">
        <w:rPr>
          <w:rFonts w:ascii="Arial" w:hAnsi="Arial" w:cs="Arial"/>
          <w:b/>
        </w:rPr>
        <w:lastRenderedPageBreak/>
        <w:t>Beneficios: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457A9" w:rsidRPr="005F7C78" w:rsidTr="007A6514">
        <w:tc>
          <w:tcPr>
            <w:tcW w:w="8828" w:type="dxa"/>
          </w:tcPr>
          <w:p w:rsidR="00C03AAC" w:rsidRDefault="004D3A07" w:rsidP="00C03AA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</w:t>
            </w:r>
            <w:r w:rsidR="00C03AAC" w:rsidRPr="00C03AAC">
              <w:rPr>
                <w:rFonts w:ascii="Arial" w:hAnsi="Arial" w:cs="Arial"/>
              </w:rPr>
              <w:t xml:space="preserve"> recurso</w:t>
            </w:r>
            <w:r>
              <w:rPr>
                <w:rFonts w:ascii="Arial" w:hAnsi="Arial" w:cs="Arial"/>
              </w:rPr>
              <w:t>s</w:t>
            </w:r>
            <w:r w:rsidR="00C03AAC" w:rsidRPr="00C03AAC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 xml:space="preserve">impugnación </w:t>
            </w:r>
            <w:r w:rsidR="00C03AAC" w:rsidRPr="00C03AAC">
              <w:rPr>
                <w:rFonts w:ascii="Arial" w:hAnsi="Arial" w:cs="Arial"/>
              </w:rPr>
              <w:t xml:space="preserve">tiene por objeto que el </w:t>
            </w:r>
            <w:r w:rsidR="005A0CAC" w:rsidRPr="005A0CAC">
              <w:rPr>
                <w:rFonts w:ascii="Arial" w:hAnsi="Arial" w:cs="Arial"/>
              </w:rPr>
              <w:t>Instituto de Transparencia, Información Pública y Protección de Datos Personales del Estado de Jalisco</w:t>
            </w:r>
            <w:r w:rsidR="005A0CAC">
              <w:rPr>
                <w:rFonts w:ascii="Arial" w:hAnsi="Arial" w:cs="Arial"/>
              </w:rPr>
              <w:t xml:space="preserve"> (ITEI)</w:t>
            </w:r>
            <w:r>
              <w:rPr>
                <w:rFonts w:ascii="Arial" w:hAnsi="Arial" w:cs="Arial"/>
              </w:rPr>
              <w:t xml:space="preserve">, </w:t>
            </w:r>
            <w:r w:rsidR="00C03AAC" w:rsidRPr="00C03AAC">
              <w:rPr>
                <w:rFonts w:ascii="Arial" w:hAnsi="Arial" w:cs="Arial"/>
              </w:rPr>
              <w:t xml:space="preserve">revise la resolución del </w:t>
            </w:r>
            <w:r>
              <w:rPr>
                <w:rFonts w:ascii="Arial" w:hAnsi="Arial" w:cs="Arial"/>
              </w:rPr>
              <w:t>Instituto Municipal de la Juventud en Tlaquepaque,</w:t>
            </w:r>
            <w:r w:rsidR="00C03AAC" w:rsidRPr="00C03AAC">
              <w:rPr>
                <w:rFonts w:ascii="Arial" w:hAnsi="Arial" w:cs="Arial"/>
              </w:rPr>
              <w:t xml:space="preserve"> sobre la procedencia de las solicitudes de </w:t>
            </w:r>
            <w:r w:rsidR="005A0CAC">
              <w:rPr>
                <w:rFonts w:ascii="Arial" w:hAnsi="Arial" w:cs="Arial"/>
              </w:rPr>
              <w:t xml:space="preserve">acceso a la </w:t>
            </w:r>
            <w:r w:rsidR="00C03AAC" w:rsidRPr="00C03AAC">
              <w:rPr>
                <w:rFonts w:ascii="Arial" w:hAnsi="Arial" w:cs="Arial"/>
              </w:rPr>
              <w:t>información</w:t>
            </w:r>
            <w:r w:rsidR="005A0CAC">
              <w:rPr>
                <w:rFonts w:ascii="Arial" w:hAnsi="Arial" w:cs="Arial"/>
              </w:rPr>
              <w:t>, de derecho ARCO y/o</w:t>
            </w:r>
            <w:r w:rsidR="00C03AAC" w:rsidRPr="00C03A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la omisión de publicación de la información fundamental en el portal oficial del Sujeto Obligado</w:t>
            </w:r>
            <w:r w:rsidR="005A0CAC">
              <w:rPr>
                <w:rFonts w:ascii="Arial" w:hAnsi="Arial" w:cs="Arial"/>
              </w:rPr>
              <w:t>; lo anterior, con el fin de</w:t>
            </w:r>
            <w:r w:rsidR="00C03AAC" w:rsidRPr="00C03AAC">
              <w:rPr>
                <w:rFonts w:ascii="Arial" w:hAnsi="Arial" w:cs="Arial"/>
              </w:rPr>
              <w:t xml:space="preserve"> </w:t>
            </w:r>
            <w:r w:rsidR="005A0CAC" w:rsidRPr="00C03AAC">
              <w:rPr>
                <w:rFonts w:ascii="Arial" w:hAnsi="Arial" w:cs="Arial"/>
              </w:rPr>
              <w:t>res</w:t>
            </w:r>
            <w:r w:rsidR="005A0CAC">
              <w:rPr>
                <w:rFonts w:ascii="Arial" w:hAnsi="Arial" w:cs="Arial"/>
              </w:rPr>
              <w:t>olver</w:t>
            </w:r>
            <w:r w:rsidR="00C03AAC" w:rsidRPr="00C03AAC">
              <w:rPr>
                <w:rFonts w:ascii="Arial" w:hAnsi="Arial" w:cs="Arial"/>
              </w:rPr>
              <w:t xml:space="preserve"> lo conducente con apego a la Ley de</w:t>
            </w:r>
            <w:r w:rsidR="00C03AAC">
              <w:rPr>
                <w:rFonts w:ascii="Arial" w:hAnsi="Arial" w:cs="Arial"/>
              </w:rPr>
              <w:t xml:space="preserve"> </w:t>
            </w:r>
            <w:r w:rsidR="00C03AAC" w:rsidRPr="00C03AAC">
              <w:rPr>
                <w:rFonts w:ascii="Arial" w:hAnsi="Arial" w:cs="Arial"/>
              </w:rPr>
              <w:t xml:space="preserve">Trasparencia y Acceso a la Información Pública del Estado de Jalisco y sus Municipios. </w:t>
            </w:r>
          </w:p>
          <w:p w:rsidR="00C03AAC" w:rsidRPr="00C03AAC" w:rsidRDefault="00C03AAC" w:rsidP="00C03AA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C03AAC" w:rsidRPr="005F7C78" w:rsidRDefault="00C03AAC" w:rsidP="00C03AA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03AAC">
              <w:rPr>
                <w:rFonts w:ascii="Arial" w:hAnsi="Arial" w:cs="Arial"/>
              </w:rPr>
              <w:t>Cuando una personal</w:t>
            </w:r>
            <w:r w:rsidR="00034938">
              <w:rPr>
                <w:rFonts w:ascii="Arial" w:hAnsi="Arial" w:cs="Arial"/>
              </w:rPr>
              <w:t xml:space="preserve"> presenta un recurso</w:t>
            </w:r>
            <w:r w:rsidRPr="00C03AAC">
              <w:rPr>
                <w:rFonts w:ascii="Arial" w:hAnsi="Arial" w:cs="Arial"/>
              </w:rPr>
              <w:t xml:space="preserve">, busca que el ITEI resuelva si cierta información debe o no ser proporcionada </w:t>
            </w:r>
            <w:r w:rsidR="005A0CAC">
              <w:rPr>
                <w:rFonts w:ascii="Arial" w:hAnsi="Arial" w:cs="Arial"/>
              </w:rPr>
              <w:t xml:space="preserve">de forma favorable a ellos </w:t>
            </w:r>
            <w:r w:rsidRPr="00C03AAC">
              <w:rPr>
                <w:rFonts w:ascii="Arial" w:hAnsi="Arial" w:cs="Arial"/>
              </w:rPr>
              <w:t>por el</w:t>
            </w:r>
            <w:r>
              <w:rPr>
                <w:rFonts w:ascii="Arial" w:hAnsi="Arial" w:cs="Arial"/>
              </w:rPr>
              <w:t xml:space="preserve"> Sujeto Obligado.</w:t>
            </w:r>
          </w:p>
        </w:tc>
      </w:tr>
    </w:tbl>
    <w:p w:rsidR="00863078" w:rsidRPr="005F7C78" w:rsidRDefault="00863078" w:rsidP="005457A9">
      <w:pPr>
        <w:spacing w:line="276" w:lineRule="auto"/>
        <w:jc w:val="both"/>
        <w:rPr>
          <w:rFonts w:ascii="Arial" w:hAnsi="Arial" w:cs="Arial"/>
          <w:b/>
        </w:rPr>
      </w:pPr>
    </w:p>
    <w:p w:rsidR="005457A9" w:rsidRPr="005F7C78" w:rsidRDefault="00863078" w:rsidP="005457A9">
      <w:pPr>
        <w:spacing w:line="276" w:lineRule="auto"/>
        <w:jc w:val="both"/>
        <w:rPr>
          <w:rFonts w:ascii="Arial" w:hAnsi="Arial" w:cs="Arial"/>
          <w:b/>
        </w:rPr>
      </w:pPr>
      <w:r w:rsidRPr="006434E7">
        <w:rPr>
          <w:rFonts w:ascii="Arial" w:hAnsi="Arial" w:cs="Arial"/>
          <w:b/>
        </w:rPr>
        <w:t>Fundamento Jurídico</w:t>
      </w:r>
      <w:r w:rsidR="005457A9" w:rsidRPr="006434E7">
        <w:rPr>
          <w:rFonts w:ascii="Arial" w:hAnsi="Arial" w:cs="Arial"/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63078" w:rsidRPr="005F7C78" w:rsidTr="007A6514">
        <w:tc>
          <w:tcPr>
            <w:tcW w:w="8828" w:type="dxa"/>
          </w:tcPr>
          <w:p w:rsidR="003A0505" w:rsidRPr="003A0505" w:rsidRDefault="003A0505" w:rsidP="003A050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A0505">
              <w:rPr>
                <w:rFonts w:ascii="Arial" w:hAnsi="Arial" w:cs="Arial"/>
              </w:rPr>
              <w:t>Artículo 6 de la Constitución Política de los Estados Unidos Mexicanos.</w:t>
            </w:r>
          </w:p>
          <w:p w:rsidR="003A0505" w:rsidRPr="003A0505" w:rsidRDefault="00F158AB" w:rsidP="003A050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Artículos 9 y 15 F</w:t>
            </w:r>
            <w:r w:rsidR="003A0505" w:rsidRPr="003A0505">
              <w:rPr>
                <w:rFonts w:ascii="Arial" w:hAnsi="Arial" w:cs="Arial"/>
              </w:rPr>
              <w:t>racción IX de la Constitución Política del Estado de Jalisco.</w:t>
            </w:r>
          </w:p>
          <w:p w:rsidR="006A4450" w:rsidRDefault="003A0505" w:rsidP="003A050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A0505">
              <w:rPr>
                <w:rFonts w:ascii="Arial" w:hAnsi="Arial" w:cs="Arial"/>
              </w:rPr>
              <w:t xml:space="preserve">Artículo </w:t>
            </w:r>
            <w:r w:rsidR="006A4450">
              <w:rPr>
                <w:rFonts w:ascii="Arial" w:hAnsi="Arial" w:cs="Arial"/>
              </w:rPr>
              <w:t xml:space="preserve">8, 93, 95, </w:t>
            </w:r>
            <w:r w:rsidRPr="003A0505">
              <w:rPr>
                <w:rFonts w:ascii="Arial" w:hAnsi="Arial" w:cs="Arial"/>
              </w:rPr>
              <w:t>96</w:t>
            </w:r>
            <w:r w:rsidR="006A4450">
              <w:rPr>
                <w:rFonts w:ascii="Arial" w:hAnsi="Arial" w:cs="Arial"/>
              </w:rPr>
              <w:t xml:space="preserve">, </w:t>
            </w:r>
            <w:r w:rsidR="006F26F4">
              <w:rPr>
                <w:rFonts w:ascii="Arial" w:hAnsi="Arial" w:cs="Arial"/>
              </w:rPr>
              <w:t xml:space="preserve">97, 104, </w:t>
            </w:r>
            <w:r w:rsidR="00E73811">
              <w:rPr>
                <w:rFonts w:ascii="Arial" w:hAnsi="Arial" w:cs="Arial"/>
              </w:rPr>
              <w:t xml:space="preserve">105, 106, </w:t>
            </w:r>
            <w:r w:rsidR="006A4450">
              <w:rPr>
                <w:rFonts w:ascii="Arial" w:hAnsi="Arial" w:cs="Arial"/>
              </w:rPr>
              <w:t>109, 111, 112</w:t>
            </w:r>
            <w:r w:rsidR="006F26F4">
              <w:rPr>
                <w:rFonts w:ascii="Arial" w:hAnsi="Arial" w:cs="Arial"/>
              </w:rPr>
              <w:t xml:space="preserve"> y 113</w:t>
            </w:r>
            <w:r w:rsidRPr="003A0505">
              <w:rPr>
                <w:rFonts w:ascii="Arial" w:hAnsi="Arial" w:cs="Arial"/>
              </w:rPr>
              <w:t xml:space="preserve"> de la Ley de Transparencia y Acceso a la Información Pública del Estado de Jalisco y sus Municipios. </w:t>
            </w:r>
          </w:p>
          <w:p w:rsidR="00863078" w:rsidRPr="005F7C78" w:rsidRDefault="00863078" w:rsidP="003A050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F7C78">
              <w:rPr>
                <w:rFonts w:ascii="Arial" w:hAnsi="Arial" w:cs="Arial"/>
              </w:rPr>
              <w:t>Reglamento de Transparencia del Instituto Municipal de la Juventud en Tlaquepaque 2016.</w:t>
            </w:r>
          </w:p>
        </w:tc>
      </w:tr>
    </w:tbl>
    <w:p w:rsidR="00863078" w:rsidRPr="005F7C78" w:rsidRDefault="00863078" w:rsidP="00863078">
      <w:pPr>
        <w:spacing w:line="276" w:lineRule="auto"/>
        <w:jc w:val="both"/>
        <w:rPr>
          <w:rFonts w:ascii="Arial" w:hAnsi="Arial" w:cs="Arial"/>
          <w:b/>
        </w:rPr>
      </w:pPr>
    </w:p>
    <w:p w:rsidR="00863078" w:rsidRPr="005F7C78" w:rsidRDefault="00863078" w:rsidP="00863078">
      <w:pPr>
        <w:spacing w:line="276" w:lineRule="auto"/>
        <w:jc w:val="both"/>
        <w:rPr>
          <w:rFonts w:ascii="Arial" w:hAnsi="Arial" w:cs="Arial"/>
          <w:b/>
        </w:rPr>
      </w:pPr>
      <w:r w:rsidRPr="00944035">
        <w:rPr>
          <w:rFonts w:ascii="Arial" w:hAnsi="Arial" w:cs="Arial"/>
          <w:b/>
        </w:rPr>
        <w:t>Medios para proporcionar el servicio: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63078" w:rsidRPr="005F7C78" w:rsidTr="007A6514">
        <w:tc>
          <w:tcPr>
            <w:tcW w:w="8828" w:type="dxa"/>
          </w:tcPr>
          <w:p w:rsidR="00863078" w:rsidRDefault="00863078" w:rsidP="0086307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F7C78">
              <w:rPr>
                <w:rFonts w:ascii="Arial" w:hAnsi="Arial" w:cs="Arial"/>
              </w:rPr>
              <w:t xml:space="preserve">Puede </w:t>
            </w:r>
            <w:r w:rsidR="006434E7">
              <w:rPr>
                <w:rFonts w:ascii="Arial" w:hAnsi="Arial" w:cs="Arial"/>
              </w:rPr>
              <w:t>interponer su recurso de revisión en cualquiera de los siguientes medios</w:t>
            </w:r>
            <w:r w:rsidRPr="005F7C78">
              <w:rPr>
                <w:rFonts w:ascii="Arial" w:hAnsi="Arial" w:cs="Arial"/>
              </w:rPr>
              <w:t>:</w:t>
            </w:r>
          </w:p>
          <w:p w:rsidR="00863078" w:rsidRPr="00A746ED" w:rsidRDefault="006434E7" w:rsidP="00A746ED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Recurso </w:t>
            </w:r>
            <w:r w:rsidR="00597A2D" w:rsidRPr="00A746ED">
              <w:rPr>
                <w:rFonts w:ascii="Arial" w:hAnsi="Arial" w:cs="Arial"/>
              </w:rPr>
              <w:t>escrit</w:t>
            </w:r>
            <w:r>
              <w:rPr>
                <w:rFonts w:ascii="Arial" w:hAnsi="Arial" w:cs="Arial"/>
              </w:rPr>
              <w:t>o ante el</w:t>
            </w:r>
            <w:r w:rsidR="000010C2" w:rsidRPr="00A746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IMJUVET o el ITEI.</w:t>
            </w:r>
          </w:p>
          <w:p w:rsidR="00A860D2" w:rsidRPr="00A746ED" w:rsidRDefault="00E4305C" w:rsidP="00A746ED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 electrónico me</w:t>
            </w:r>
            <w:r w:rsidR="00A860D2" w:rsidRPr="00A746ED">
              <w:rPr>
                <w:rFonts w:ascii="Arial" w:hAnsi="Arial" w:cs="Arial"/>
              </w:rPr>
              <w:t xml:space="preserve">diante el correo </w:t>
            </w:r>
            <w:hyperlink r:id="rId8" w:history="1">
              <w:r w:rsidR="00345955" w:rsidRPr="00A746ED">
                <w:rPr>
                  <w:rStyle w:val="Hipervnculo"/>
                  <w:rFonts w:ascii="Arial" w:hAnsi="Arial" w:cs="Arial"/>
                  <w:color w:val="auto"/>
                  <w:u w:val="none"/>
                </w:rPr>
                <w:t>jovenestlaq@gmail.com</w:t>
              </w:r>
            </w:hyperlink>
            <w:r w:rsidR="00345955" w:rsidRPr="00A746ED">
              <w:rPr>
                <w:rFonts w:ascii="Arial" w:hAnsi="Arial" w:cs="Arial"/>
              </w:rPr>
              <w:t>, o mediante la</w:t>
            </w:r>
            <w:r w:rsidR="00EB7090" w:rsidRPr="00A746ED">
              <w:rPr>
                <w:rFonts w:ascii="Arial" w:hAnsi="Arial" w:cs="Arial"/>
              </w:rPr>
              <w:t xml:space="preserve"> Plataforma Nacional de Transparencia (PNT) en </w:t>
            </w:r>
            <w:r>
              <w:rPr>
                <w:rFonts w:ascii="Arial" w:hAnsi="Arial" w:cs="Arial"/>
              </w:rPr>
              <w:t>e</w:t>
            </w:r>
            <w:r w:rsidR="00EB7090" w:rsidRPr="00A746ED">
              <w:rPr>
                <w:rFonts w:ascii="Arial" w:hAnsi="Arial" w:cs="Arial"/>
              </w:rPr>
              <w:t xml:space="preserve">l siguiente link: </w:t>
            </w:r>
            <w:r w:rsidR="00A860D2" w:rsidRPr="00A746ED">
              <w:rPr>
                <w:rFonts w:ascii="Arial" w:hAnsi="Arial" w:cs="Arial"/>
              </w:rPr>
              <w:t xml:space="preserve"> </w:t>
            </w:r>
          </w:p>
          <w:p w:rsidR="00CA6427" w:rsidRPr="00A746ED" w:rsidRDefault="00345955" w:rsidP="00A746ED">
            <w:pPr>
              <w:pStyle w:val="Prrafodelista"/>
              <w:spacing w:line="276" w:lineRule="auto"/>
              <w:jc w:val="both"/>
              <w:rPr>
                <w:rFonts w:ascii="Arial" w:hAnsi="Arial" w:cs="Arial"/>
              </w:rPr>
            </w:pPr>
            <w:r w:rsidRPr="00A746ED">
              <w:rPr>
                <w:rFonts w:ascii="Arial" w:hAnsi="Arial" w:cs="Arial"/>
              </w:rPr>
              <w:t>http://www.plataformadetransparencia.org.mx/</w:t>
            </w:r>
          </w:p>
        </w:tc>
      </w:tr>
    </w:tbl>
    <w:p w:rsidR="00034938" w:rsidRDefault="00034938" w:rsidP="00FB6551">
      <w:pPr>
        <w:spacing w:line="276" w:lineRule="auto"/>
        <w:jc w:val="both"/>
        <w:rPr>
          <w:rFonts w:ascii="Arial" w:hAnsi="Arial" w:cs="Arial"/>
          <w:b/>
        </w:rPr>
      </w:pPr>
    </w:p>
    <w:p w:rsidR="00FB6551" w:rsidRPr="005F7C78" w:rsidRDefault="002360B0" w:rsidP="00FB6551">
      <w:pPr>
        <w:spacing w:line="276" w:lineRule="auto"/>
        <w:jc w:val="both"/>
        <w:rPr>
          <w:rFonts w:ascii="Arial" w:hAnsi="Arial" w:cs="Arial"/>
          <w:b/>
        </w:rPr>
      </w:pPr>
      <w:r w:rsidRPr="005F7C78">
        <w:rPr>
          <w:rFonts w:ascii="Arial" w:hAnsi="Arial" w:cs="Arial"/>
          <w:b/>
        </w:rPr>
        <w:t>Requisitos: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B6551" w:rsidRPr="005F7C78" w:rsidTr="007A6514">
        <w:tc>
          <w:tcPr>
            <w:tcW w:w="8828" w:type="dxa"/>
          </w:tcPr>
          <w:p w:rsidR="00705465" w:rsidRDefault="00705465" w:rsidP="0070546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F7C78">
              <w:rPr>
                <w:rFonts w:ascii="Arial" w:hAnsi="Arial" w:cs="Arial"/>
              </w:rPr>
              <w:t>L</w:t>
            </w:r>
            <w:r w:rsidR="004F1178">
              <w:rPr>
                <w:rFonts w:ascii="Arial" w:hAnsi="Arial" w:cs="Arial"/>
              </w:rPr>
              <w:t xml:space="preserve">os recursos </w:t>
            </w:r>
            <w:r w:rsidR="00C15F18">
              <w:rPr>
                <w:rFonts w:ascii="Arial" w:hAnsi="Arial" w:cs="Arial"/>
              </w:rPr>
              <w:t xml:space="preserve">sin importar el medio de impugnación, </w:t>
            </w:r>
            <w:r w:rsidR="004F1178">
              <w:rPr>
                <w:rFonts w:ascii="Arial" w:hAnsi="Arial" w:cs="Arial"/>
              </w:rPr>
              <w:t>deberán de contener de forma generalizada y</w:t>
            </w:r>
            <w:r w:rsidRPr="005F7C78">
              <w:rPr>
                <w:rFonts w:ascii="Arial" w:hAnsi="Arial" w:cs="Arial"/>
              </w:rPr>
              <w:t xml:space="preserve"> cuando menos</w:t>
            </w:r>
            <w:r w:rsidR="00C15F18">
              <w:rPr>
                <w:rFonts w:ascii="Arial" w:hAnsi="Arial" w:cs="Arial"/>
              </w:rPr>
              <w:t xml:space="preserve"> lo siguiente</w:t>
            </w:r>
            <w:r w:rsidRPr="005F7C78">
              <w:rPr>
                <w:rFonts w:ascii="Arial" w:hAnsi="Arial" w:cs="Arial"/>
              </w:rPr>
              <w:t>:</w:t>
            </w:r>
          </w:p>
          <w:p w:rsidR="00C15F18" w:rsidRDefault="00C15F18" w:rsidP="007054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54C86" w:rsidRDefault="004F1178" w:rsidP="00AF1553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Recurso </w:t>
            </w:r>
            <w:r w:rsidRPr="00A746ED">
              <w:rPr>
                <w:rFonts w:ascii="Arial" w:hAnsi="Arial" w:cs="Arial"/>
              </w:rPr>
              <w:t>escrit</w:t>
            </w:r>
            <w:r w:rsidR="00154C86">
              <w:rPr>
                <w:rFonts w:ascii="Arial" w:hAnsi="Arial" w:cs="Arial"/>
              </w:rPr>
              <w:t>o</w:t>
            </w:r>
            <w:r w:rsidR="00F24D8A">
              <w:rPr>
                <w:rFonts w:ascii="Arial" w:hAnsi="Arial" w:cs="Arial"/>
              </w:rPr>
              <w:t xml:space="preserve"> que contenga</w:t>
            </w:r>
            <w:r w:rsidR="00AF1553">
              <w:rPr>
                <w:rFonts w:ascii="Arial" w:hAnsi="Arial" w:cs="Arial"/>
              </w:rPr>
              <w:t>:</w:t>
            </w:r>
          </w:p>
          <w:p w:rsidR="00F24D8A" w:rsidRDefault="00F24D8A" w:rsidP="00AF1553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AF1553">
              <w:rPr>
                <w:rFonts w:ascii="Arial" w:hAnsi="Arial" w:cs="Arial"/>
              </w:rPr>
              <w:t>utoridad ante quien se impugna</w:t>
            </w:r>
            <w:r>
              <w:rPr>
                <w:rFonts w:ascii="Arial" w:hAnsi="Arial" w:cs="Arial"/>
              </w:rPr>
              <w:t>, ya se</w:t>
            </w:r>
            <w:r w:rsidR="00E01EB2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ante el IMJUVET o ITEI;</w:t>
            </w:r>
          </w:p>
          <w:p w:rsidR="00F24D8A" w:rsidRPr="00F24D8A" w:rsidRDefault="00F24D8A" w:rsidP="00F24D8A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F24D8A">
              <w:rPr>
                <w:rFonts w:ascii="Arial" w:hAnsi="Arial" w:cs="Arial"/>
              </w:rPr>
              <w:t>Nombre y firma de quien lo promueve;</w:t>
            </w:r>
          </w:p>
          <w:p w:rsidR="00F24D8A" w:rsidRPr="00F24D8A" w:rsidRDefault="00F24D8A" w:rsidP="00F24D8A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F24D8A">
              <w:rPr>
                <w:rFonts w:ascii="Arial" w:hAnsi="Arial" w:cs="Arial"/>
              </w:rPr>
              <w:t xml:space="preserve">Sujeto obligado </w:t>
            </w:r>
            <w:r>
              <w:rPr>
                <w:rFonts w:ascii="Arial" w:hAnsi="Arial" w:cs="Arial"/>
              </w:rPr>
              <w:t xml:space="preserve">responsable del recurso de cuenta por negar, omitir o violar </w:t>
            </w:r>
            <w:r>
              <w:rPr>
                <w:rFonts w:ascii="Arial" w:hAnsi="Arial" w:cs="Arial"/>
              </w:rPr>
              <w:lastRenderedPageBreak/>
              <w:t xml:space="preserve">los </w:t>
            </w:r>
            <w:r w:rsidRPr="00F24D8A">
              <w:rPr>
                <w:rFonts w:ascii="Arial" w:hAnsi="Arial" w:cs="Arial"/>
                <w:i/>
              </w:rPr>
              <w:t>Derechos de</w:t>
            </w:r>
            <w:r>
              <w:rPr>
                <w:rFonts w:ascii="Arial" w:hAnsi="Arial" w:cs="Arial"/>
                <w:i/>
              </w:rPr>
              <w:t xml:space="preserve"> A</w:t>
            </w:r>
            <w:r w:rsidRPr="00F24D8A">
              <w:rPr>
                <w:rFonts w:ascii="Arial" w:hAnsi="Arial" w:cs="Arial"/>
                <w:i/>
              </w:rPr>
              <w:t>cceso a la</w:t>
            </w:r>
            <w:r>
              <w:rPr>
                <w:rFonts w:ascii="Arial" w:hAnsi="Arial" w:cs="Arial"/>
                <w:i/>
              </w:rPr>
              <w:t xml:space="preserve"> I</w:t>
            </w:r>
            <w:r w:rsidRPr="00F24D8A">
              <w:rPr>
                <w:rFonts w:ascii="Arial" w:hAnsi="Arial" w:cs="Arial"/>
                <w:i/>
              </w:rPr>
              <w:t>nformación</w:t>
            </w:r>
            <w:r>
              <w:rPr>
                <w:rFonts w:ascii="Arial" w:hAnsi="Arial" w:cs="Arial"/>
              </w:rPr>
              <w:t xml:space="preserve">  (Recurso de Resolución o Recurso de Transparencia) o al </w:t>
            </w:r>
            <w:r w:rsidRPr="00F24D8A">
              <w:rPr>
                <w:rFonts w:ascii="Arial" w:hAnsi="Arial" w:cs="Arial"/>
                <w:i/>
              </w:rPr>
              <w:t>Derecho</w:t>
            </w:r>
            <w:r>
              <w:rPr>
                <w:rFonts w:ascii="Arial" w:hAnsi="Arial" w:cs="Arial"/>
                <w:i/>
              </w:rPr>
              <w:t>s</w:t>
            </w:r>
            <w:r w:rsidRPr="00F24D8A">
              <w:rPr>
                <w:rFonts w:ascii="Arial" w:hAnsi="Arial" w:cs="Arial"/>
                <w:i/>
              </w:rPr>
              <w:t xml:space="preserve"> ARCO </w:t>
            </w:r>
            <w:r>
              <w:rPr>
                <w:rFonts w:ascii="Arial" w:hAnsi="Arial" w:cs="Arial"/>
              </w:rPr>
              <w:t>(Recurso de Protección de Datos Personales)</w:t>
            </w:r>
            <w:r w:rsidRPr="00F24D8A">
              <w:rPr>
                <w:rFonts w:ascii="Arial" w:hAnsi="Arial" w:cs="Arial"/>
              </w:rPr>
              <w:t xml:space="preserve"> o emitió la resolución que se impugna;</w:t>
            </w:r>
          </w:p>
          <w:p w:rsidR="00F24D8A" w:rsidRPr="00F24D8A" w:rsidRDefault="00F24D8A" w:rsidP="00F24D8A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F24D8A">
              <w:rPr>
                <w:rFonts w:ascii="Arial" w:hAnsi="Arial" w:cs="Arial"/>
              </w:rPr>
              <w:t>Número y fecha de la resolución que se impugna;</w:t>
            </w:r>
          </w:p>
          <w:p w:rsidR="00F24D8A" w:rsidRPr="00D70557" w:rsidRDefault="00F24D8A" w:rsidP="00F24D8A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D70557">
              <w:rPr>
                <w:rFonts w:ascii="Arial" w:hAnsi="Arial" w:cs="Arial"/>
              </w:rPr>
              <w:t>Argumentos sobr</w:t>
            </w:r>
            <w:r w:rsidR="00B56F53">
              <w:rPr>
                <w:rFonts w:ascii="Arial" w:hAnsi="Arial" w:cs="Arial"/>
              </w:rPr>
              <w:t>e</w:t>
            </w:r>
            <w:r w:rsidRPr="00D70557">
              <w:rPr>
                <w:rFonts w:ascii="Arial" w:hAnsi="Arial" w:cs="Arial"/>
              </w:rPr>
              <w:t xml:space="preserve"> la</w:t>
            </w:r>
            <w:r w:rsidR="00B56F53">
              <w:rPr>
                <w:rFonts w:ascii="Arial" w:hAnsi="Arial" w:cs="Arial"/>
              </w:rPr>
              <w:t xml:space="preserve"> motivación del Recurso de Revisión, Recurso de Transparencia o Recurso de Protección de Datos Personal, tales como la omisió</w:t>
            </w:r>
            <w:r w:rsidRPr="00D70557">
              <w:rPr>
                <w:rFonts w:ascii="Arial" w:hAnsi="Arial" w:cs="Arial"/>
              </w:rPr>
              <w:t>n de</w:t>
            </w:r>
            <w:r w:rsidR="00B56F53">
              <w:rPr>
                <w:rFonts w:ascii="Arial" w:hAnsi="Arial" w:cs="Arial"/>
              </w:rPr>
              <w:t xml:space="preserve"> información por el</w:t>
            </w:r>
            <w:r w:rsidRPr="00D70557">
              <w:rPr>
                <w:rFonts w:ascii="Arial" w:hAnsi="Arial" w:cs="Arial"/>
              </w:rPr>
              <w:t xml:space="preserve"> </w:t>
            </w:r>
            <w:r w:rsidR="00B56F53">
              <w:rPr>
                <w:rFonts w:ascii="Arial" w:hAnsi="Arial" w:cs="Arial"/>
              </w:rPr>
              <w:t>IMJUVET como Sujeto Obligado</w:t>
            </w:r>
            <w:r w:rsidRPr="00D70557">
              <w:rPr>
                <w:rFonts w:ascii="Arial" w:hAnsi="Arial" w:cs="Arial"/>
              </w:rPr>
              <w:t xml:space="preserve"> o la improcedencia de la resolución, </w:t>
            </w:r>
            <w:r w:rsidR="00B56F53">
              <w:rPr>
                <w:rFonts w:ascii="Arial" w:hAnsi="Arial" w:cs="Arial"/>
              </w:rPr>
              <w:t>el incumplimiento de la solicitud de derechos ARCO, o cualquiera que considere violación a sus derechos en conformidad a la Ley de la materia.</w:t>
            </w:r>
          </w:p>
          <w:p w:rsidR="00F24D8A" w:rsidRPr="00B56F53" w:rsidRDefault="00B56F53" w:rsidP="00F24D8A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Datos de localización para su correspondiente notificación</w:t>
            </w:r>
            <w:r w:rsidR="00F24D8A" w:rsidRPr="00B56F53">
              <w:rPr>
                <w:rFonts w:ascii="Arial" w:hAnsi="Arial" w:cs="Arial"/>
              </w:rPr>
              <w:t xml:space="preserve"> como domicilio o correo electró</w:t>
            </w:r>
            <w:r>
              <w:rPr>
                <w:rFonts w:ascii="Arial" w:hAnsi="Arial" w:cs="Arial"/>
              </w:rPr>
              <w:t>nico</w:t>
            </w:r>
            <w:r w:rsidR="00F24D8A" w:rsidRPr="00B56F53">
              <w:rPr>
                <w:rFonts w:ascii="Arial" w:hAnsi="Arial" w:cs="Arial"/>
              </w:rPr>
              <w:t>.</w:t>
            </w:r>
          </w:p>
          <w:p w:rsidR="00F24D8A" w:rsidRDefault="00B56F53" w:rsidP="00F24D8A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Proporcionar la información y/o documentación que sustenten el argumento del recurso impugnado que sirvan como pruebas de la falta o violación por el Sujeto Obligado, como son las copias de la solicitud con su resolución correspondiente o imágenes y datos precisos sobre los apartados específicos de los medios consultados que carece</w:t>
            </w:r>
            <w:r w:rsidR="0081606A">
              <w:rPr>
                <w:rFonts w:ascii="Arial" w:hAnsi="Arial" w:cs="Arial"/>
              </w:rPr>
              <w:t>n de información fundamental publicada.</w:t>
            </w:r>
          </w:p>
          <w:p w:rsidR="00505760" w:rsidRDefault="00505760" w:rsidP="00944035">
            <w:pPr>
              <w:pStyle w:val="Prrafodelista"/>
              <w:spacing w:line="276" w:lineRule="auto"/>
              <w:ind w:left="1080"/>
              <w:jc w:val="both"/>
              <w:rPr>
                <w:rFonts w:ascii="Arial" w:hAnsi="Arial" w:cs="Arial"/>
              </w:rPr>
            </w:pPr>
          </w:p>
          <w:p w:rsidR="00AA6930" w:rsidRPr="005F7C78" w:rsidRDefault="004D7534" w:rsidP="0070546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F7C78">
              <w:rPr>
                <w:rFonts w:ascii="Arial" w:hAnsi="Arial" w:cs="Arial"/>
              </w:rPr>
              <w:t>Deberá</w:t>
            </w:r>
            <w:r w:rsidR="00AA6930" w:rsidRPr="005F7C78">
              <w:rPr>
                <w:rFonts w:ascii="Arial" w:hAnsi="Arial" w:cs="Arial"/>
              </w:rPr>
              <w:t xml:space="preserve"> presentarse e</w:t>
            </w:r>
            <w:r w:rsidRPr="005F7C78">
              <w:rPr>
                <w:rFonts w:ascii="Arial" w:hAnsi="Arial" w:cs="Arial"/>
              </w:rPr>
              <w:t>l</w:t>
            </w:r>
            <w:r w:rsidR="00AA6930" w:rsidRPr="005F7C78">
              <w:rPr>
                <w:rFonts w:ascii="Arial" w:hAnsi="Arial" w:cs="Arial"/>
              </w:rPr>
              <w:t xml:space="preserve"> </w:t>
            </w:r>
            <w:r w:rsidRPr="005F7C78">
              <w:rPr>
                <w:rFonts w:ascii="Arial" w:hAnsi="Arial" w:cs="Arial"/>
              </w:rPr>
              <w:t xml:space="preserve">escrito en </w:t>
            </w:r>
            <w:r w:rsidR="00AA6930" w:rsidRPr="005F7C78">
              <w:rPr>
                <w:rFonts w:ascii="Arial" w:hAnsi="Arial" w:cs="Arial"/>
              </w:rPr>
              <w:t>original y copia, para que este Instituto entregue acuse de recibido sellada y fechada</w:t>
            </w:r>
            <w:r w:rsidRPr="005F7C78">
              <w:rPr>
                <w:rFonts w:ascii="Arial" w:hAnsi="Arial" w:cs="Arial"/>
              </w:rPr>
              <w:t xml:space="preserve">, </w:t>
            </w:r>
            <w:r w:rsidR="00AA6930" w:rsidRPr="005F7C78">
              <w:rPr>
                <w:rFonts w:ascii="Arial" w:hAnsi="Arial" w:cs="Arial"/>
              </w:rPr>
              <w:t>así como el número de folio de trámite para su seguimiento.</w:t>
            </w:r>
          </w:p>
        </w:tc>
      </w:tr>
    </w:tbl>
    <w:p w:rsidR="00AE63F0" w:rsidRDefault="00AE63F0" w:rsidP="00AE63F0">
      <w:pPr>
        <w:spacing w:line="276" w:lineRule="auto"/>
        <w:jc w:val="both"/>
        <w:rPr>
          <w:rFonts w:ascii="Arial" w:hAnsi="Arial" w:cs="Arial"/>
          <w:b/>
        </w:rPr>
      </w:pPr>
    </w:p>
    <w:p w:rsidR="00AE63F0" w:rsidRPr="005F7C78" w:rsidRDefault="00AE63F0" w:rsidP="00AE63F0">
      <w:pPr>
        <w:spacing w:line="276" w:lineRule="auto"/>
        <w:jc w:val="both"/>
        <w:rPr>
          <w:rFonts w:ascii="Arial" w:hAnsi="Arial" w:cs="Arial"/>
          <w:b/>
        </w:rPr>
      </w:pPr>
      <w:r w:rsidRPr="005F7C78">
        <w:rPr>
          <w:rFonts w:ascii="Arial" w:hAnsi="Arial" w:cs="Arial"/>
          <w:b/>
        </w:rPr>
        <w:t>P</w:t>
      </w:r>
      <w:r w:rsidR="002360B0" w:rsidRPr="005F7C78">
        <w:rPr>
          <w:rFonts w:ascii="Arial" w:hAnsi="Arial" w:cs="Arial"/>
          <w:b/>
        </w:rPr>
        <w:t>rocedimiento</w:t>
      </w:r>
      <w:r w:rsidR="00E02F71" w:rsidRPr="005F7C78">
        <w:rPr>
          <w:rFonts w:ascii="Arial" w:hAnsi="Arial" w:cs="Arial"/>
          <w:b/>
        </w:rPr>
        <w:t xml:space="preserve"> detallado</w:t>
      </w:r>
      <w:r w:rsidR="00EE6698" w:rsidRPr="005F7C78">
        <w:rPr>
          <w:rFonts w:ascii="Arial" w:hAnsi="Arial" w:cs="Arial"/>
          <w:b/>
        </w:rPr>
        <w:t>:</w:t>
      </w:r>
      <w:r w:rsidRPr="005F7C78"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F7C78" w:rsidRPr="000B2F73" w:rsidTr="007A6514">
        <w:tc>
          <w:tcPr>
            <w:tcW w:w="8828" w:type="dxa"/>
          </w:tcPr>
          <w:p w:rsidR="00832330" w:rsidRDefault="000B2F73" w:rsidP="000B2F7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F7C78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os recursos deberán de presentarse de la siguiente forma</w:t>
            </w:r>
            <w:r w:rsidRPr="005F7C78">
              <w:rPr>
                <w:rFonts w:ascii="Arial" w:hAnsi="Arial" w:cs="Arial"/>
              </w:rPr>
              <w:t>:</w:t>
            </w:r>
          </w:p>
          <w:p w:rsidR="00505760" w:rsidRPr="00F81D35" w:rsidRDefault="00832330" w:rsidP="00F81D35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 escrit</w:t>
            </w:r>
            <w:r w:rsidR="00505760" w:rsidRPr="00F81D3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s</w:t>
            </w:r>
            <w:r w:rsidR="00505760" w:rsidRPr="00F81D35">
              <w:rPr>
                <w:rFonts w:ascii="Arial" w:hAnsi="Arial" w:cs="Arial"/>
              </w:rPr>
              <w:t>:</w:t>
            </w:r>
          </w:p>
          <w:p w:rsidR="00111B49" w:rsidRDefault="00111B49" w:rsidP="00111B49">
            <w:pPr>
              <w:pStyle w:val="Prrafodelista"/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el escrito del Recurso de cuenta y sus anexos a las instalaciones de la autoridad elegida:</w:t>
            </w:r>
          </w:p>
          <w:p w:rsidR="00111B49" w:rsidRDefault="00111B49" w:rsidP="00111B49">
            <w:pPr>
              <w:pStyle w:val="Prrafodelista"/>
              <w:spacing w:line="276" w:lineRule="auto"/>
              <w:ind w:left="1080"/>
              <w:jc w:val="both"/>
              <w:rPr>
                <w:rFonts w:ascii="Arial" w:hAnsi="Arial" w:cs="Arial"/>
              </w:rPr>
            </w:pPr>
            <w:r w:rsidRPr="00944035">
              <w:rPr>
                <w:rFonts w:ascii="Arial" w:hAnsi="Arial" w:cs="Arial"/>
                <w:i/>
              </w:rPr>
              <w:t>IMJUVET:</w:t>
            </w:r>
            <w:r>
              <w:rPr>
                <w:rFonts w:ascii="Arial" w:hAnsi="Arial" w:cs="Arial"/>
              </w:rPr>
              <w:t xml:space="preserve"> </w:t>
            </w:r>
            <w:r w:rsidRPr="00944035">
              <w:rPr>
                <w:rFonts w:ascii="Arial" w:hAnsi="Arial" w:cs="Arial"/>
              </w:rPr>
              <w:t xml:space="preserve">Prolongación Pedro de </w:t>
            </w:r>
            <w:proofErr w:type="spellStart"/>
            <w:r w:rsidRPr="00944035">
              <w:rPr>
                <w:rFonts w:ascii="Arial" w:hAnsi="Arial" w:cs="Arial"/>
              </w:rPr>
              <w:t>Ayza</w:t>
            </w:r>
            <w:proofErr w:type="spellEnd"/>
            <w:r w:rsidRPr="00944035">
              <w:rPr>
                <w:rFonts w:ascii="Arial" w:hAnsi="Arial" w:cs="Arial"/>
              </w:rPr>
              <w:t xml:space="preserve"> No. 195, Colonia Hidalgo, Municipio de San Pedro Tlaquepaque, Jalisco</w:t>
            </w:r>
            <w:r>
              <w:rPr>
                <w:rFonts w:ascii="Arial" w:hAnsi="Arial" w:cs="Arial"/>
              </w:rPr>
              <w:t>.</w:t>
            </w:r>
          </w:p>
          <w:p w:rsidR="00111B49" w:rsidRDefault="00111B49" w:rsidP="00111B49">
            <w:pPr>
              <w:pStyle w:val="Prrafodelista"/>
              <w:spacing w:line="276" w:lineRule="auto"/>
              <w:ind w:left="1080"/>
              <w:jc w:val="both"/>
              <w:rPr>
                <w:rFonts w:ascii="Arial" w:hAnsi="Arial" w:cs="Arial"/>
              </w:rPr>
            </w:pPr>
            <w:r w:rsidRPr="00944035">
              <w:rPr>
                <w:rFonts w:ascii="Arial" w:hAnsi="Arial" w:cs="Arial"/>
                <w:i/>
              </w:rPr>
              <w:t>ITEI</w:t>
            </w:r>
            <w:r>
              <w:rPr>
                <w:rFonts w:ascii="Arial" w:hAnsi="Arial" w:cs="Arial"/>
              </w:rPr>
              <w:t xml:space="preserve">: </w:t>
            </w:r>
            <w:r w:rsidRPr="00944035">
              <w:rPr>
                <w:rFonts w:ascii="Arial" w:hAnsi="Arial" w:cs="Arial"/>
              </w:rPr>
              <w:t>Av. Vallarta 1312</w:t>
            </w:r>
            <w:r>
              <w:rPr>
                <w:rFonts w:ascii="Arial" w:hAnsi="Arial" w:cs="Arial"/>
              </w:rPr>
              <w:t>,</w:t>
            </w:r>
            <w:r w:rsidRPr="00944035">
              <w:rPr>
                <w:rFonts w:ascii="Arial" w:hAnsi="Arial" w:cs="Arial"/>
              </w:rPr>
              <w:t xml:space="preserve"> Colonia Americana</w:t>
            </w:r>
            <w:r>
              <w:rPr>
                <w:rFonts w:ascii="Arial" w:hAnsi="Arial" w:cs="Arial"/>
              </w:rPr>
              <w:t xml:space="preserve">, </w:t>
            </w:r>
            <w:r w:rsidRPr="00944035">
              <w:rPr>
                <w:rFonts w:ascii="Arial" w:hAnsi="Arial" w:cs="Arial"/>
              </w:rPr>
              <w:t>Guadalajara, Jalisco</w:t>
            </w:r>
            <w:r>
              <w:rPr>
                <w:rFonts w:ascii="Arial" w:hAnsi="Arial" w:cs="Arial"/>
              </w:rPr>
              <w:t>.</w:t>
            </w:r>
          </w:p>
          <w:p w:rsidR="00BF127B" w:rsidRPr="00BF127B" w:rsidRDefault="00BF127B" w:rsidP="00BF127B">
            <w:pPr>
              <w:pStyle w:val="Prrafodelista"/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BF127B">
              <w:rPr>
                <w:rFonts w:ascii="Arial" w:hAnsi="Arial" w:cs="Arial"/>
              </w:rPr>
              <w:t xml:space="preserve">Conservar el acuse de recibido y número de folio de trámite </w:t>
            </w:r>
            <w:r>
              <w:rPr>
                <w:rFonts w:ascii="Arial" w:hAnsi="Arial" w:cs="Arial"/>
              </w:rPr>
              <w:t>para su seguimiento;</w:t>
            </w:r>
          </w:p>
          <w:p w:rsidR="00BF127B" w:rsidRPr="00BF127B" w:rsidRDefault="00BF127B" w:rsidP="00BF127B">
            <w:pPr>
              <w:pStyle w:val="Prrafodelista"/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BF127B">
              <w:rPr>
                <w:rFonts w:ascii="Arial" w:hAnsi="Arial" w:cs="Arial"/>
              </w:rPr>
              <w:t>Dar seguimiento vía telefónica o personal al trámite a través del número de rec</w:t>
            </w:r>
            <w:r w:rsidR="007E369C">
              <w:rPr>
                <w:rFonts w:ascii="Arial" w:hAnsi="Arial" w:cs="Arial"/>
              </w:rPr>
              <w:t>urso</w:t>
            </w:r>
            <w:r>
              <w:rPr>
                <w:rFonts w:ascii="Arial" w:hAnsi="Arial" w:cs="Arial"/>
              </w:rPr>
              <w:t xml:space="preserve"> asignado</w:t>
            </w:r>
            <w:r w:rsidR="008D7E2F">
              <w:rPr>
                <w:rFonts w:ascii="Arial" w:hAnsi="Arial" w:cs="Arial"/>
              </w:rPr>
              <w:t xml:space="preserve"> ante el ITEI</w:t>
            </w:r>
            <w:r>
              <w:rPr>
                <w:rFonts w:ascii="Arial" w:hAnsi="Arial" w:cs="Arial"/>
              </w:rPr>
              <w:t>;</w:t>
            </w:r>
          </w:p>
          <w:p w:rsidR="00BF127B" w:rsidRPr="00BF127B" w:rsidRDefault="008D7E2F" w:rsidP="00BF127B">
            <w:pPr>
              <w:pStyle w:val="Prrafodelista"/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Esperar</w:t>
            </w:r>
            <w:r w:rsidR="00BF127B" w:rsidRPr="00BF127B">
              <w:rPr>
                <w:rFonts w:ascii="Arial" w:hAnsi="Arial" w:cs="Arial"/>
              </w:rPr>
              <w:t xml:space="preserve"> notificación del </w:t>
            </w:r>
            <w:r w:rsidR="00B9730D">
              <w:rPr>
                <w:rFonts w:ascii="Arial" w:hAnsi="Arial" w:cs="Arial"/>
              </w:rPr>
              <w:t xml:space="preserve">admisión del </w:t>
            </w:r>
            <w:r w:rsidR="00BF127B" w:rsidRPr="00BF127B">
              <w:rPr>
                <w:rFonts w:ascii="Arial" w:hAnsi="Arial" w:cs="Arial"/>
              </w:rPr>
              <w:t xml:space="preserve">recurso de </w:t>
            </w:r>
            <w:r w:rsidR="00B9730D">
              <w:rPr>
                <w:rFonts w:ascii="Arial" w:hAnsi="Arial" w:cs="Arial"/>
              </w:rPr>
              <w:t>cuenta</w:t>
            </w:r>
            <w:r w:rsidR="00BF127B" w:rsidRPr="00BF127B">
              <w:rPr>
                <w:rFonts w:ascii="Arial" w:hAnsi="Arial" w:cs="Arial"/>
              </w:rPr>
              <w:t xml:space="preserve"> por la vía solicitada </w:t>
            </w:r>
            <w:r w:rsidR="00BF127B">
              <w:rPr>
                <w:rFonts w:ascii="Arial" w:hAnsi="Arial" w:cs="Arial"/>
              </w:rPr>
              <w:t>(correo electrónico o personal); y</w:t>
            </w:r>
          </w:p>
          <w:p w:rsidR="00BF127B" w:rsidRPr="00BF127B" w:rsidRDefault="00B9730D" w:rsidP="00BF127B">
            <w:pPr>
              <w:pStyle w:val="Prrafodelista"/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Esperar</w:t>
            </w:r>
            <w:r w:rsidR="00BF127B" w:rsidRPr="00BF127B">
              <w:rPr>
                <w:rFonts w:ascii="Arial" w:hAnsi="Arial" w:cs="Arial"/>
              </w:rPr>
              <w:t xml:space="preserve"> que el Consejo del Instituto resuelva sobre el Recurso </w:t>
            </w:r>
            <w:r w:rsidR="007E369C">
              <w:rPr>
                <w:rFonts w:ascii="Arial" w:hAnsi="Arial" w:cs="Arial"/>
              </w:rPr>
              <w:t>de cuenta</w:t>
            </w:r>
            <w:r w:rsidR="00BF127B" w:rsidRPr="00BF127B">
              <w:rPr>
                <w:rFonts w:ascii="Arial" w:hAnsi="Arial" w:cs="Arial"/>
              </w:rPr>
              <w:t xml:space="preserve"> se notifica </w:t>
            </w:r>
            <w:r>
              <w:rPr>
                <w:rFonts w:ascii="Arial" w:hAnsi="Arial" w:cs="Arial"/>
              </w:rPr>
              <w:t xml:space="preserve">y notifique </w:t>
            </w:r>
            <w:r w:rsidR="00BF127B" w:rsidRPr="00BF127B">
              <w:rPr>
                <w:rFonts w:ascii="Arial" w:hAnsi="Arial" w:cs="Arial"/>
              </w:rPr>
              <w:t xml:space="preserve">sobre la procedencia y en su caso que proceda total o parcialmente </w:t>
            </w:r>
            <w:r>
              <w:rPr>
                <w:rFonts w:ascii="Arial" w:hAnsi="Arial" w:cs="Arial"/>
              </w:rPr>
              <w:t>y esperar</w:t>
            </w:r>
            <w:r w:rsidR="00BF127B" w:rsidRPr="00BF127B">
              <w:rPr>
                <w:rFonts w:ascii="Arial" w:hAnsi="Arial" w:cs="Arial"/>
              </w:rPr>
              <w:t xml:space="preserve"> recib</w:t>
            </w:r>
            <w:r>
              <w:rPr>
                <w:rFonts w:ascii="Arial" w:hAnsi="Arial" w:cs="Arial"/>
              </w:rPr>
              <w:t xml:space="preserve">ir por el mismo medio de elección una </w:t>
            </w:r>
            <w:r>
              <w:rPr>
                <w:rFonts w:ascii="Arial" w:hAnsi="Arial" w:cs="Arial"/>
              </w:rPr>
              <w:lastRenderedPageBreak/>
              <w:t>resolución</w:t>
            </w:r>
            <w:r w:rsidR="00BF127B" w:rsidRPr="00BF127B">
              <w:rPr>
                <w:rFonts w:ascii="Arial" w:hAnsi="Arial" w:cs="Arial"/>
              </w:rPr>
              <w:t xml:space="preserve"> del sujeto obligado </w:t>
            </w:r>
            <w:r>
              <w:rPr>
                <w:rFonts w:ascii="Arial" w:hAnsi="Arial" w:cs="Arial"/>
              </w:rPr>
              <w:t>con l</w:t>
            </w:r>
            <w:r w:rsidR="00BF127B" w:rsidRPr="00BF127B">
              <w:rPr>
                <w:rFonts w:ascii="Arial" w:hAnsi="Arial" w:cs="Arial"/>
              </w:rPr>
              <w:t xml:space="preserve">a información </w:t>
            </w:r>
            <w:r>
              <w:rPr>
                <w:rFonts w:ascii="Arial" w:hAnsi="Arial" w:cs="Arial"/>
              </w:rPr>
              <w:t xml:space="preserve">requerida por el ITEI </w:t>
            </w:r>
            <w:r w:rsidR="00BF127B" w:rsidRPr="00BF127B">
              <w:rPr>
                <w:rFonts w:ascii="Arial" w:hAnsi="Arial" w:cs="Arial"/>
              </w:rPr>
              <w:t>dentro del plazo establecido.</w:t>
            </w:r>
          </w:p>
          <w:p w:rsidR="00505760" w:rsidRPr="00AF1553" w:rsidRDefault="00505760" w:rsidP="00505760">
            <w:pPr>
              <w:pStyle w:val="Prrafodelista"/>
              <w:spacing w:line="276" w:lineRule="auto"/>
              <w:ind w:left="1080"/>
              <w:jc w:val="both"/>
              <w:rPr>
                <w:rFonts w:ascii="Arial" w:hAnsi="Arial" w:cs="Arial"/>
              </w:rPr>
            </w:pPr>
          </w:p>
          <w:p w:rsidR="00505760" w:rsidRPr="00944035" w:rsidRDefault="00505760" w:rsidP="00505760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44035">
              <w:rPr>
                <w:rFonts w:ascii="Arial" w:hAnsi="Arial" w:cs="Arial"/>
              </w:rPr>
              <w:t>Recurso electrónico:</w:t>
            </w:r>
          </w:p>
          <w:p w:rsidR="00B9730D" w:rsidRDefault="00B9730D" w:rsidP="00B9730D">
            <w:pPr>
              <w:pStyle w:val="Prrafodelista"/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por medio electrónico el Recurso de cuenta y sus anexos a las instalaciones de la autoridad elegida:</w:t>
            </w:r>
          </w:p>
          <w:p w:rsidR="00B9730D" w:rsidRDefault="00B9730D" w:rsidP="00B9730D">
            <w:pPr>
              <w:pStyle w:val="Prrafodelista"/>
              <w:spacing w:line="276" w:lineRule="auto"/>
              <w:ind w:left="1080"/>
              <w:jc w:val="both"/>
              <w:rPr>
                <w:rFonts w:ascii="Arial" w:hAnsi="Arial" w:cs="Arial"/>
                <w:lang w:val="en-US"/>
              </w:rPr>
            </w:pPr>
            <w:r w:rsidRPr="00944035">
              <w:rPr>
                <w:rFonts w:ascii="Arial" w:hAnsi="Arial" w:cs="Arial"/>
                <w:i/>
                <w:lang w:val="en-US"/>
              </w:rPr>
              <w:t>IMJUVET:</w:t>
            </w:r>
            <w:r w:rsidRPr="00944035">
              <w:rPr>
                <w:rFonts w:ascii="Arial" w:hAnsi="Arial" w:cs="Arial"/>
                <w:lang w:val="en-US"/>
              </w:rPr>
              <w:t xml:space="preserve"> </w:t>
            </w:r>
            <w:r w:rsidR="00721BBB">
              <w:fldChar w:fldCharType="begin"/>
            </w:r>
            <w:r w:rsidR="00721BBB" w:rsidRPr="00D642EF">
              <w:rPr>
                <w:lang w:val="en-US"/>
              </w:rPr>
              <w:instrText xml:space="preserve"> HYPERLINK "mailto:jovenestlaq@gmail.com" </w:instrText>
            </w:r>
            <w:r w:rsidR="00721BBB">
              <w:fldChar w:fldCharType="separate"/>
            </w:r>
            <w:r w:rsidRPr="00944035">
              <w:rPr>
                <w:rStyle w:val="Hipervnculo"/>
                <w:rFonts w:ascii="Arial" w:hAnsi="Arial" w:cs="Arial"/>
                <w:color w:val="auto"/>
                <w:u w:val="none"/>
                <w:lang w:val="en-US"/>
              </w:rPr>
              <w:t>jovenestlaq@gmail.com</w:t>
            </w:r>
            <w:r w:rsidR="00721BBB">
              <w:rPr>
                <w:rStyle w:val="Hipervnculo"/>
                <w:rFonts w:ascii="Arial" w:hAnsi="Arial" w:cs="Arial"/>
                <w:color w:val="auto"/>
                <w:u w:val="none"/>
                <w:lang w:val="en-US"/>
              </w:rPr>
              <w:fldChar w:fldCharType="end"/>
            </w:r>
            <w:r w:rsidRPr="00944035">
              <w:rPr>
                <w:rFonts w:ascii="Arial" w:hAnsi="Arial" w:cs="Arial"/>
                <w:lang w:val="en-US"/>
              </w:rPr>
              <w:t>.</w:t>
            </w:r>
          </w:p>
          <w:p w:rsidR="00B9730D" w:rsidRPr="00505760" w:rsidRDefault="00B9730D" w:rsidP="00B9730D">
            <w:pPr>
              <w:pStyle w:val="Prrafodelista"/>
              <w:spacing w:line="276" w:lineRule="auto"/>
              <w:ind w:left="1080"/>
              <w:jc w:val="both"/>
              <w:rPr>
                <w:rFonts w:ascii="Arial" w:hAnsi="Arial" w:cs="Arial"/>
                <w:lang w:val="en-US"/>
              </w:rPr>
            </w:pPr>
            <w:r w:rsidRPr="00505760">
              <w:rPr>
                <w:rFonts w:ascii="Arial" w:hAnsi="Arial" w:cs="Arial"/>
                <w:i/>
                <w:lang w:val="en-US"/>
              </w:rPr>
              <w:t>PNT</w:t>
            </w:r>
            <w:r w:rsidRPr="00505760">
              <w:rPr>
                <w:rFonts w:ascii="Arial" w:hAnsi="Arial" w:cs="Arial"/>
                <w:lang w:val="en-US"/>
              </w:rPr>
              <w:t xml:space="preserve">: http://www.plataformadetransparencia.org.mx/ </w:t>
            </w:r>
          </w:p>
          <w:p w:rsidR="00B9730D" w:rsidRPr="00B9730D" w:rsidRDefault="00944755" w:rsidP="00B9730D">
            <w:pPr>
              <w:pStyle w:val="Prrafode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Esperar notificación en </w:t>
            </w:r>
            <w:r w:rsidR="00B9730D" w:rsidRPr="00B9730D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l mismo medio</w:t>
            </w:r>
            <w:r w:rsidR="00B9730D" w:rsidRPr="00B9730D">
              <w:rPr>
                <w:rFonts w:ascii="Arial" w:hAnsi="Arial" w:cs="Arial"/>
              </w:rPr>
              <w:t xml:space="preserve"> electrónico </w:t>
            </w:r>
            <w:r>
              <w:rPr>
                <w:rFonts w:ascii="Arial" w:hAnsi="Arial" w:cs="Arial"/>
              </w:rPr>
              <w:t xml:space="preserve">con </w:t>
            </w:r>
            <w:r w:rsidR="00B9730D" w:rsidRPr="00B9730D">
              <w:rPr>
                <w:rFonts w:ascii="Arial" w:hAnsi="Arial" w:cs="Arial"/>
              </w:rPr>
              <w:t>el número de folio de</w:t>
            </w:r>
            <w:r>
              <w:rPr>
                <w:rFonts w:ascii="Arial" w:hAnsi="Arial" w:cs="Arial"/>
              </w:rPr>
              <w:t>l trámite;</w:t>
            </w:r>
          </w:p>
          <w:p w:rsidR="00B9730D" w:rsidRPr="00B9730D" w:rsidRDefault="00B9730D" w:rsidP="00B9730D">
            <w:pPr>
              <w:pStyle w:val="Prrafode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B9730D">
              <w:rPr>
                <w:rFonts w:ascii="Arial" w:hAnsi="Arial" w:cs="Arial"/>
              </w:rPr>
              <w:t>Dar seguimiento vía telefónica</w:t>
            </w:r>
            <w:r w:rsidR="00952122">
              <w:rPr>
                <w:rFonts w:ascii="Arial" w:hAnsi="Arial" w:cs="Arial"/>
              </w:rPr>
              <w:t xml:space="preserve"> o personal al trámite a través ante el ITEI con</w:t>
            </w:r>
            <w:r w:rsidR="0095166A">
              <w:rPr>
                <w:rFonts w:ascii="Arial" w:hAnsi="Arial" w:cs="Arial"/>
              </w:rPr>
              <w:t xml:space="preserve"> referencia a</w:t>
            </w:r>
            <w:r w:rsidRPr="00B9730D">
              <w:rPr>
                <w:rFonts w:ascii="Arial" w:hAnsi="Arial" w:cs="Arial"/>
              </w:rPr>
              <w:t xml:space="preserve">l número </w:t>
            </w:r>
            <w:r w:rsidR="00944755">
              <w:rPr>
                <w:rFonts w:ascii="Arial" w:hAnsi="Arial" w:cs="Arial"/>
              </w:rPr>
              <w:t xml:space="preserve">de recurso de </w:t>
            </w:r>
            <w:r w:rsidR="00952122">
              <w:rPr>
                <w:rFonts w:ascii="Arial" w:hAnsi="Arial" w:cs="Arial"/>
              </w:rPr>
              <w:t>cuenta</w:t>
            </w:r>
            <w:r w:rsidR="00944755">
              <w:rPr>
                <w:rFonts w:ascii="Arial" w:hAnsi="Arial" w:cs="Arial"/>
              </w:rPr>
              <w:t>; y</w:t>
            </w:r>
          </w:p>
          <w:p w:rsidR="00505760" w:rsidRDefault="00B93D32" w:rsidP="00B93D32">
            <w:pPr>
              <w:pStyle w:val="Prrafodelista"/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Esperar</w:t>
            </w:r>
            <w:r w:rsidRPr="00BF127B">
              <w:rPr>
                <w:rFonts w:ascii="Arial" w:hAnsi="Arial" w:cs="Arial"/>
              </w:rPr>
              <w:t xml:space="preserve"> que el Consejo del Instituto resuelva sobre el Recurso </w:t>
            </w:r>
            <w:r>
              <w:rPr>
                <w:rFonts w:ascii="Arial" w:hAnsi="Arial" w:cs="Arial"/>
              </w:rPr>
              <w:t>de cuenta</w:t>
            </w:r>
            <w:r w:rsidRPr="00BF127B">
              <w:rPr>
                <w:rFonts w:ascii="Arial" w:hAnsi="Arial" w:cs="Arial"/>
              </w:rPr>
              <w:t xml:space="preserve"> se notifica </w:t>
            </w:r>
            <w:r>
              <w:rPr>
                <w:rFonts w:ascii="Arial" w:hAnsi="Arial" w:cs="Arial"/>
              </w:rPr>
              <w:t xml:space="preserve">y notifique </w:t>
            </w:r>
            <w:r w:rsidRPr="00BF127B">
              <w:rPr>
                <w:rFonts w:ascii="Arial" w:hAnsi="Arial" w:cs="Arial"/>
              </w:rPr>
              <w:t xml:space="preserve">sobre la procedencia y en su caso que proceda total o parcialmente </w:t>
            </w:r>
            <w:r>
              <w:rPr>
                <w:rFonts w:ascii="Arial" w:hAnsi="Arial" w:cs="Arial"/>
              </w:rPr>
              <w:t>y esperar</w:t>
            </w:r>
            <w:r w:rsidRPr="00BF127B">
              <w:rPr>
                <w:rFonts w:ascii="Arial" w:hAnsi="Arial" w:cs="Arial"/>
              </w:rPr>
              <w:t xml:space="preserve"> recib</w:t>
            </w:r>
            <w:r>
              <w:rPr>
                <w:rFonts w:ascii="Arial" w:hAnsi="Arial" w:cs="Arial"/>
              </w:rPr>
              <w:t>ir por el mismo medio de elección una resolución</w:t>
            </w:r>
            <w:r w:rsidRPr="00BF127B">
              <w:rPr>
                <w:rFonts w:ascii="Arial" w:hAnsi="Arial" w:cs="Arial"/>
              </w:rPr>
              <w:t xml:space="preserve"> del sujeto obligado </w:t>
            </w:r>
            <w:r>
              <w:rPr>
                <w:rFonts w:ascii="Arial" w:hAnsi="Arial" w:cs="Arial"/>
              </w:rPr>
              <w:t>con l</w:t>
            </w:r>
            <w:r w:rsidRPr="00BF127B">
              <w:rPr>
                <w:rFonts w:ascii="Arial" w:hAnsi="Arial" w:cs="Arial"/>
              </w:rPr>
              <w:t xml:space="preserve">a información </w:t>
            </w:r>
            <w:r>
              <w:rPr>
                <w:rFonts w:ascii="Arial" w:hAnsi="Arial" w:cs="Arial"/>
              </w:rPr>
              <w:t xml:space="preserve">requerida por el ITEI </w:t>
            </w:r>
            <w:r w:rsidRPr="00BF127B">
              <w:rPr>
                <w:rFonts w:ascii="Arial" w:hAnsi="Arial" w:cs="Arial"/>
              </w:rPr>
              <w:t>dentro del plazo establecido.</w:t>
            </w:r>
          </w:p>
          <w:p w:rsidR="00B93D32" w:rsidRDefault="00B93D32" w:rsidP="00B93D32">
            <w:pPr>
              <w:pStyle w:val="Prrafodelista"/>
              <w:spacing w:line="276" w:lineRule="auto"/>
              <w:ind w:left="1080"/>
              <w:jc w:val="both"/>
              <w:rPr>
                <w:rFonts w:ascii="Arial" w:hAnsi="Arial" w:cs="Arial"/>
              </w:rPr>
            </w:pPr>
          </w:p>
          <w:p w:rsidR="00400B3F" w:rsidRPr="00B93D32" w:rsidRDefault="00400B3F" w:rsidP="00400B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00B3F">
              <w:rPr>
                <w:rFonts w:ascii="Arial" w:hAnsi="Arial" w:cs="Arial"/>
              </w:rPr>
              <w:t>Cuando a la solicitud le falte algún requisito o documento anexo el</w:t>
            </w:r>
            <w:r>
              <w:rPr>
                <w:rFonts w:ascii="Arial" w:hAnsi="Arial" w:cs="Arial"/>
              </w:rPr>
              <w:t xml:space="preserve"> </w:t>
            </w:r>
            <w:r w:rsidRPr="00400B3F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TEI</w:t>
            </w:r>
            <w:r w:rsidRPr="00400B3F">
              <w:rPr>
                <w:rFonts w:ascii="Arial" w:hAnsi="Arial" w:cs="Arial"/>
              </w:rPr>
              <w:t xml:space="preserve"> debe</w:t>
            </w:r>
            <w:r>
              <w:rPr>
                <w:rFonts w:ascii="Arial" w:hAnsi="Arial" w:cs="Arial"/>
              </w:rPr>
              <w:t>rá</w:t>
            </w:r>
            <w:r w:rsidRPr="00400B3F">
              <w:rPr>
                <w:rFonts w:ascii="Arial" w:hAnsi="Arial" w:cs="Arial"/>
              </w:rPr>
              <w:t xml:space="preserve"> subsanar las omisiones que procedan y, en su caso,</w:t>
            </w:r>
            <w:r>
              <w:rPr>
                <w:rFonts w:ascii="Arial" w:hAnsi="Arial" w:cs="Arial"/>
              </w:rPr>
              <w:t xml:space="preserve"> </w:t>
            </w:r>
            <w:r w:rsidRPr="00400B3F">
              <w:rPr>
                <w:rFonts w:ascii="Arial" w:hAnsi="Arial" w:cs="Arial"/>
              </w:rPr>
              <w:t>requerir al ciudadano, dentro del día hábil siguiente a su recepción,</w:t>
            </w:r>
            <w:r>
              <w:rPr>
                <w:rFonts w:ascii="Arial" w:hAnsi="Arial" w:cs="Arial"/>
              </w:rPr>
              <w:t xml:space="preserve"> </w:t>
            </w:r>
            <w:r w:rsidRPr="00400B3F">
              <w:rPr>
                <w:rFonts w:ascii="Arial" w:hAnsi="Arial" w:cs="Arial"/>
              </w:rPr>
              <w:t>para que cumplimente lo necesario dentro de los tres días hábiles</w:t>
            </w:r>
            <w:r>
              <w:rPr>
                <w:rFonts w:ascii="Arial" w:hAnsi="Arial" w:cs="Arial"/>
              </w:rPr>
              <w:t xml:space="preserve"> </w:t>
            </w:r>
            <w:r w:rsidRPr="00400B3F">
              <w:rPr>
                <w:rFonts w:ascii="Arial" w:hAnsi="Arial" w:cs="Arial"/>
              </w:rPr>
              <w:t>siguientes a su notificación. El recurso de revisión suspende el plazo</w:t>
            </w:r>
            <w:r>
              <w:rPr>
                <w:rFonts w:ascii="Arial" w:hAnsi="Arial" w:cs="Arial"/>
              </w:rPr>
              <w:t xml:space="preserve"> </w:t>
            </w:r>
            <w:r w:rsidRPr="00400B3F">
              <w:rPr>
                <w:rFonts w:ascii="Arial" w:hAnsi="Arial" w:cs="Arial"/>
              </w:rPr>
              <w:t>para resolver la admisión, hasta que se cumplimente o termine el plazo</w:t>
            </w:r>
            <w:r>
              <w:rPr>
                <w:rFonts w:ascii="Arial" w:hAnsi="Arial" w:cs="Arial"/>
              </w:rPr>
              <w:t xml:space="preserve"> </w:t>
            </w:r>
            <w:r w:rsidRPr="00400B3F">
              <w:rPr>
                <w:rFonts w:ascii="Arial" w:hAnsi="Arial" w:cs="Arial"/>
              </w:rPr>
              <w:t>para que el ciudadano subsane las omisiones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28748A" w:rsidRPr="000B2F73" w:rsidRDefault="0028748A" w:rsidP="00AE63F0">
      <w:pPr>
        <w:spacing w:line="276" w:lineRule="auto"/>
        <w:jc w:val="both"/>
        <w:rPr>
          <w:rFonts w:ascii="Arial" w:hAnsi="Arial" w:cs="Arial"/>
          <w:b/>
        </w:rPr>
      </w:pPr>
    </w:p>
    <w:p w:rsidR="00AE63F0" w:rsidRPr="005F7C78" w:rsidRDefault="002360B0" w:rsidP="00AE63F0">
      <w:pPr>
        <w:spacing w:line="276" w:lineRule="auto"/>
        <w:jc w:val="both"/>
        <w:rPr>
          <w:rFonts w:ascii="Arial" w:hAnsi="Arial" w:cs="Arial"/>
          <w:b/>
        </w:rPr>
      </w:pPr>
      <w:r w:rsidRPr="005F7C78">
        <w:rPr>
          <w:rFonts w:ascii="Arial" w:hAnsi="Arial" w:cs="Arial"/>
          <w:b/>
        </w:rPr>
        <w:t>Costo</w:t>
      </w:r>
      <w:r w:rsidR="00011CB1">
        <w:rPr>
          <w:rFonts w:ascii="Arial" w:hAnsi="Arial" w:cs="Arial"/>
          <w:b/>
        </w:rPr>
        <w:t xml:space="preserve"> total</w:t>
      </w:r>
      <w:r w:rsidR="00AE63F0" w:rsidRPr="005F7C78">
        <w:rPr>
          <w:rFonts w:ascii="Arial" w:hAnsi="Arial" w:cs="Arial"/>
          <w:b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A06BD" w:rsidRPr="005F7C78" w:rsidTr="007A6514">
        <w:tc>
          <w:tcPr>
            <w:tcW w:w="8828" w:type="dxa"/>
          </w:tcPr>
          <w:p w:rsidR="00AE63F0" w:rsidRPr="00904CC3" w:rsidRDefault="00904CC3" w:rsidP="00AE63F0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AE63F0" w:rsidRPr="005F7C78">
              <w:rPr>
                <w:rFonts w:ascii="Arial" w:hAnsi="Arial" w:cs="Arial"/>
              </w:rPr>
              <w:t>o tiene costo.</w:t>
            </w:r>
          </w:p>
        </w:tc>
      </w:tr>
    </w:tbl>
    <w:p w:rsidR="00E26F4D" w:rsidRDefault="00E26F4D" w:rsidP="00972CDD">
      <w:pPr>
        <w:spacing w:line="276" w:lineRule="auto"/>
        <w:jc w:val="both"/>
        <w:rPr>
          <w:rFonts w:ascii="Arial" w:hAnsi="Arial" w:cs="Arial"/>
          <w:b/>
        </w:rPr>
      </w:pPr>
    </w:p>
    <w:p w:rsidR="002360B0" w:rsidRPr="005F7C78" w:rsidRDefault="002360B0" w:rsidP="00972CDD">
      <w:pPr>
        <w:spacing w:line="276" w:lineRule="auto"/>
        <w:jc w:val="both"/>
        <w:rPr>
          <w:rFonts w:ascii="Arial" w:hAnsi="Arial" w:cs="Arial"/>
          <w:b/>
        </w:rPr>
      </w:pPr>
      <w:r w:rsidRPr="005F7C78">
        <w:rPr>
          <w:rFonts w:ascii="Arial" w:hAnsi="Arial" w:cs="Arial"/>
          <w:b/>
        </w:rPr>
        <w:t>Forma de pago: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963F6" w:rsidRPr="005F7C78" w:rsidTr="00A5592C">
        <w:tc>
          <w:tcPr>
            <w:tcW w:w="8828" w:type="dxa"/>
          </w:tcPr>
          <w:p w:rsidR="00A5592C" w:rsidRPr="005F7C78" w:rsidRDefault="00904CC3" w:rsidP="005B4C3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No aplica.</w:t>
            </w:r>
          </w:p>
        </w:tc>
      </w:tr>
    </w:tbl>
    <w:p w:rsidR="00C529F0" w:rsidRPr="005F7C78" w:rsidRDefault="00C529F0" w:rsidP="00972CDD">
      <w:pPr>
        <w:spacing w:line="276" w:lineRule="auto"/>
        <w:jc w:val="both"/>
        <w:rPr>
          <w:rFonts w:ascii="Arial" w:hAnsi="Arial" w:cs="Arial"/>
          <w:b/>
        </w:rPr>
      </w:pPr>
    </w:p>
    <w:p w:rsidR="002360B0" w:rsidRPr="005F7C78" w:rsidRDefault="002360B0" w:rsidP="00972CDD">
      <w:pPr>
        <w:spacing w:line="276" w:lineRule="auto"/>
        <w:jc w:val="both"/>
        <w:rPr>
          <w:rFonts w:ascii="Arial" w:hAnsi="Arial" w:cs="Arial"/>
          <w:b/>
        </w:rPr>
      </w:pPr>
      <w:r w:rsidRPr="005F7C78">
        <w:rPr>
          <w:rFonts w:ascii="Arial" w:hAnsi="Arial" w:cs="Arial"/>
          <w:b/>
        </w:rPr>
        <w:t>Documento a obtener: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05465" w:rsidRPr="005F7C78" w:rsidTr="00A5592C">
        <w:tc>
          <w:tcPr>
            <w:tcW w:w="8828" w:type="dxa"/>
          </w:tcPr>
          <w:p w:rsidR="00A5592C" w:rsidRPr="005F7C78" w:rsidRDefault="00B50448" w:rsidP="0066767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</w:t>
            </w:r>
            <w:r w:rsidR="000A3098">
              <w:rPr>
                <w:rFonts w:ascii="Arial" w:hAnsi="Arial" w:cs="Arial"/>
              </w:rPr>
              <w:t xml:space="preserve">olución </w:t>
            </w:r>
            <w:r w:rsidR="00667676">
              <w:rPr>
                <w:rFonts w:ascii="Arial" w:hAnsi="Arial" w:cs="Arial"/>
              </w:rPr>
              <w:t>del Consejo del ITEI, respecto al recurso de cuenta</w:t>
            </w:r>
            <w:r>
              <w:rPr>
                <w:rFonts w:ascii="Arial" w:hAnsi="Arial" w:cs="Arial"/>
              </w:rPr>
              <w:t>.</w:t>
            </w:r>
            <w:r w:rsidR="00921DBE" w:rsidRPr="005F7C78">
              <w:rPr>
                <w:rFonts w:ascii="Arial" w:hAnsi="Arial" w:cs="Arial"/>
              </w:rPr>
              <w:t xml:space="preserve"> </w:t>
            </w:r>
          </w:p>
        </w:tc>
      </w:tr>
    </w:tbl>
    <w:p w:rsidR="00C529F0" w:rsidRPr="005F7C78" w:rsidRDefault="00C529F0" w:rsidP="00972CDD">
      <w:pPr>
        <w:spacing w:line="276" w:lineRule="auto"/>
        <w:jc w:val="both"/>
        <w:rPr>
          <w:rFonts w:ascii="Arial" w:hAnsi="Arial" w:cs="Arial"/>
          <w:b/>
        </w:rPr>
      </w:pPr>
    </w:p>
    <w:p w:rsidR="002360B0" w:rsidRPr="005F7C78" w:rsidRDefault="00467348" w:rsidP="00972CDD">
      <w:pPr>
        <w:spacing w:line="276" w:lineRule="auto"/>
        <w:jc w:val="both"/>
        <w:rPr>
          <w:rFonts w:ascii="Arial" w:hAnsi="Arial" w:cs="Arial"/>
          <w:b/>
        </w:rPr>
      </w:pPr>
      <w:r w:rsidRPr="005F7C78">
        <w:rPr>
          <w:rFonts w:ascii="Arial" w:hAnsi="Arial" w:cs="Arial"/>
          <w:b/>
        </w:rPr>
        <w:t>Plazo máximo de respuesta</w:t>
      </w:r>
      <w:r w:rsidR="002360B0" w:rsidRPr="005F7C78">
        <w:rPr>
          <w:rFonts w:ascii="Arial" w:hAnsi="Arial" w:cs="Arial"/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592C" w:rsidRPr="005F7C78" w:rsidTr="00A5592C">
        <w:tc>
          <w:tcPr>
            <w:tcW w:w="8828" w:type="dxa"/>
          </w:tcPr>
          <w:p w:rsidR="00B033E3" w:rsidRDefault="00CA6311" w:rsidP="00B033E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Unidad de Transparencia del </w:t>
            </w:r>
            <w:r w:rsidR="00B033E3">
              <w:rPr>
                <w:rFonts w:ascii="Arial" w:hAnsi="Arial" w:cs="Arial"/>
              </w:rPr>
              <w:t xml:space="preserve">Instituto Municipal de la Juventud en Tlaquepaque, </w:t>
            </w:r>
            <w:r w:rsidR="00B033E3" w:rsidRPr="00B033E3">
              <w:rPr>
                <w:rFonts w:ascii="Arial" w:hAnsi="Arial" w:cs="Arial"/>
              </w:rPr>
              <w:t>debe remitir al I</w:t>
            </w:r>
            <w:r w:rsidR="00B033E3">
              <w:rPr>
                <w:rFonts w:ascii="Arial" w:hAnsi="Arial" w:cs="Arial"/>
              </w:rPr>
              <w:t>TEI</w:t>
            </w:r>
            <w:r w:rsidR="00B033E3" w:rsidRPr="00B033E3">
              <w:rPr>
                <w:rFonts w:ascii="Arial" w:hAnsi="Arial" w:cs="Arial"/>
              </w:rPr>
              <w:t xml:space="preserve"> </w:t>
            </w:r>
            <w:r w:rsidR="00B033E3">
              <w:rPr>
                <w:rFonts w:ascii="Arial" w:hAnsi="Arial" w:cs="Arial"/>
              </w:rPr>
              <w:t xml:space="preserve">el Recurso de cuenta </w:t>
            </w:r>
            <w:r w:rsidR="00B033E3" w:rsidRPr="00B033E3">
              <w:rPr>
                <w:rFonts w:ascii="Arial" w:hAnsi="Arial" w:cs="Arial"/>
              </w:rPr>
              <w:t xml:space="preserve">dentro de los tres días hábiles siguientes a </w:t>
            </w:r>
            <w:r w:rsidR="00B033E3">
              <w:rPr>
                <w:rFonts w:ascii="Arial" w:hAnsi="Arial" w:cs="Arial"/>
              </w:rPr>
              <w:t xml:space="preserve">su </w:t>
            </w:r>
            <w:r w:rsidR="00B033E3">
              <w:rPr>
                <w:rFonts w:ascii="Arial" w:hAnsi="Arial" w:cs="Arial"/>
              </w:rPr>
              <w:lastRenderedPageBreak/>
              <w:t>presentación</w:t>
            </w:r>
            <w:r w:rsidR="00B033E3" w:rsidRPr="00B033E3">
              <w:rPr>
                <w:rFonts w:ascii="Arial" w:hAnsi="Arial" w:cs="Arial"/>
              </w:rPr>
              <w:t>.</w:t>
            </w:r>
          </w:p>
          <w:p w:rsidR="00B033E3" w:rsidRDefault="00B033E3" w:rsidP="00DE485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144A4" w:rsidRDefault="00D144A4" w:rsidP="00DE485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144A4">
              <w:rPr>
                <w:rFonts w:ascii="Arial" w:hAnsi="Arial" w:cs="Arial"/>
              </w:rPr>
              <w:t>Los tiempos establecidos por Ley, indican lo siguiente:</w:t>
            </w:r>
          </w:p>
          <w:p w:rsidR="00D144A4" w:rsidRDefault="00D144A4" w:rsidP="00DE485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B77F1D" w:rsidRPr="00D144A4" w:rsidRDefault="00D144A4" w:rsidP="00D144A4">
            <w:pPr>
              <w:pStyle w:val="Prrafodelista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D144A4">
              <w:rPr>
                <w:rFonts w:ascii="Arial" w:hAnsi="Arial" w:cs="Arial"/>
              </w:rPr>
              <w:t>Recurso de Revisión:</w:t>
            </w:r>
          </w:p>
          <w:p w:rsidR="00796FD7" w:rsidRPr="00D144A4" w:rsidRDefault="00796FD7" w:rsidP="00D144A4">
            <w:pPr>
              <w:pStyle w:val="Prrafode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D144A4">
              <w:rPr>
                <w:rFonts w:ascii="Arial" w:hAnsi="Arial" w:cs="Arial"/>
              </w:rPr>
              <w:t>5 días hábiles posteriores a que presenta la solicitud para que el ITEI resuelva sobre la admisión del recurso de revisión presentado por el ciudadano.</w:t>
            </w:r>
          </w:p>
          <w:p w:rsidR="00796FD7" w:rsidRPr="00D144A4" w:rsidRDefault="00796FD7" w:rsidP="00D144A4">
            <w:pPr>
              <w:pStyle w:val="Prrafode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D144A4">
              <w:rPr>
                <w:rFonts w:ascii="Arial" w:hAnsi="Arial" w:cs="Arial"/>
              </w:rPr>
              <w:t xml:space="preserve">1 día hábil posterior a su admisión para que el ITEI notifique al promotor acerca de omisiones, documentos o requisitos faltantes. </w:t>
            </w:r>
          </w:p>
          <w:p w:rsidR="00796FD7" w:rsidRPr="00D144A4" w:rsidRDefault="00796FD7" w:rsidP="00D144A4">
            <w:pPr>
              <w:pStyle w:val="Prrafode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D144A4">
              <w:rPr>
                <w:rFonts w:ascii="Arial" w:hAnsi="Arial" w:cs="Arial"/>
              </w:rPr>
              <w:t>3 días hábiles posteriores a ser notificado, el ciudadano promotor tiene para subsanar la información o cumplimentar la faltante.</w:t>
            </w:r>
          </w:p>
          <w:p w:rsidR="00796FD7" w:rsidRPr="00D144A4" w:rsidRDefault="00796FD7" w:rsidP="00D144A4">
            <w:pPr>
              <w:pStyle w:val="Prrafode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D144A4">
              <w:rPr>
                <w:rFonts w:ascii="Arial" w:hAnsi="Arial" w:cs="Arial"/>
              </w:rPr>
              <w:t>2 días hábiles siguientes a la admisión del recurso, el ITEI deberá notificar al sujeto obligado y en su caso a terceros afectados.</w:t>
            </w:r>
          </w:p>
          <w:p w:rsidR="00796FD7" w:rsidRPr="00D144A4" w:rsidRDefault="00796FD7" w:rsidP="00D144A4">
            <w:pPr>
              <w:pStyle w:val="Prrafode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D144A4">
              <w:rPr>
                <w:rFonts w:ascii="Arial" w:hAnsi="Arial" w:cs="Arial"/>
              </w:rPr>
              <w:t xml:space="preserve">3 días hábiles posteriores a ser notificado, el sujeto obligado y en su caso, los terceros afectados deberán enviar al ITEI un informe de contestación al recurso de revisión. </w:t>
            </w:r>
          </w:p>
          <w:p w:rsidR="00796FD7" w:rsidRPr="00D144A4" w:rsidRDefault="00796FD7" w:rsidP="00D144A4">
            <w:pPr>
              <w:pStyle w:val="Prrafode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D144A4">
              <w:rPr>
                <w:rFonts w:ascii="Arial" w:hAnsi="Arial" w:cs="Arial"/>
              </w:rPr>
              <w:t xml:space="preserve">10 días hábiles posteriores a recibir los informes, el ITEI deberá resolver el recurso de revisión. </w:t>
            </w:r>
          </w:p>
          <w:p w:rsidR="00B77F1D" w:rsidRDefault="00796FD7" w:rsidP="00D144A4">
            <w:pPr>
              <w:pStyle w:val="Prrafode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D144A4">
              <w:rPr>
                <w:rFonts w:ascii="Arial" w:hAnsi="Arial" w:cs="Arial"/>
              </w:rPr>
              <w:t>5 días hábiles posteriores a la emisión de la resolución el ITEI deberá de notificar al ciudadano y a las partes, apercibiendo al sujeto obligado de la procedencia de las medidas de apremio en caso de incumplimiento.</w:t>
            </w:r>
          </w:p>
          <w:p w:rsidR="00D144A4" w:rsidRDefault="00D144A4" w:rsidP="00D144A4">
            <w:pPr>
              <w:pStyle w:val="Prrafodelista"/>
              <w:spacing w:line="276" w:lineRule="auto"/>
              <w:ind w:left="1440"/>
              <w:jc w:val="both"/>
              <w:rPr>
                <w:rFonts w:ascii="Arial" w:hAnsi="Arial" w:cs="Arial"/>
              </w:rPr>
            </w:pPr>
          </w:p>
          <w:p w:rsidR="00D144A4" w:rsidRDefault="00D144A4" w:rsidP="00D144A4">
            <w:pPr>
              <w:pStyle w:val="Prrafodelista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 de Transparencia:</w:t>
            </w:r>
          </w:p>
          <w:p w:rsidR="00D144A4" w:rsidRPr="00D144A4" w:rsidRDefault="00D144A4" w:rsidP="00D144A4">
            <w:pPr>
              <w:pStyle w:val="Prrafodelista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D144A4">
              <w:rPr>
                <w:rFonts w:ascii="Arial" w:hAnsi="Arial" w:cs="Arial"/>
              </w:rPr>
              <w:t>2 días hábiles siguientes a su recepción, para que el Instituto resuelva sobre la admisión de la denuncia del recurso de transparencia.</w:t>
            </w:r>
          </w:p>
          <w:p w:rsidR="00D144A4" w:rsidRPr="00D144A4" w:rsidRDefault="00D144A4" w:rsidP="00D144A4">
            <w:pPr>
              <w:pStyle w:val="Prrafodelista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D144A4">
              <w:rPr>
                <w:rFonts w:ascii="Arial" w:hAnsi="Arial" w:cs="Arial"/>
              </w:rPr>
              <w:t>2 días hábiles siguientes a la admisión para que el Instituto notifique al sujeto obligado el recurso de transparencia.</w:t>
            </w:r>
          </w:p>
          <w:p w:rsidR="00D144A4" w:rsidRPr="00D144A4" w:rsidRDefault="00D144A4" w:rsidP="00D144A4">
            <w:pPr>
              <w:pStyle w:val="Prrafodelista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D144A4">
              <w:rPr>
                <w:rFonts w:ascii="Arial" w:hAnsi="Arial" w:cs="Arial"/>
              </w:rPr>
              <w:t>5 días hábiles posteriores a ser notificado el sujeto obligado debe enviar al Instituto un informe en contestación del recurso de transparencia.</w:t>
            </w:r>
          </w:p>
          <w:p w:rsidR="00D144A4" w:rsidRPr="00D144A4" w:rsidRDefault="00D144A4" w:rsidP="00D144A4">
            <w:pPr>
              <w:pStyle w:val="Prrafodelista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D144A4">
              <w:rPr>
                <w:rFonts w:ascii="Arial" w:hAnsi="Arial" w:cs="Arial"/>
              </w:rPr>
              <w:t>El Instituto puede realizar las diligencias y solicitar los informes complementarios al sujeto obligado que requiera para allegarse de los elementos de juicio que considere necesarios para resolver el recurso</w:t>
            </w:r>
            <w:r>
              <w:rPr>
                <w:rFonts w:ascii="Arial" w:hAnsi="Arial" w:cs="Arial"/>
              </w:rPr>
              <w:t xml:space="preserve"> </w:t>
            </w:r>
            <w:r w:rsidRPr="00D144A4">
              <w:rPr>
                <w:rFonts w:ascii="Arial" w:hAnsi="Arial" w:cs="Arial"/>
              </w:rPr>
              <w:t xml:space="preserve">de transparencia. </w:t>
            </w:r>
          </w:p>
          <w:p w:rsidR="00D144A4" w:rsidRPr="00D144A4" w:rsidRDefault="00D144A4" w:rsidP="00D144A4">
            <w:pPr>
              <w:pStyle w:val="Prrafodelista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D144A4">
              <w:rPr>
                <w:rFonts w:ascii="Arial" w:hAnsi="Arial" w:cs="Arial"/>
              </w:rPr>
              <w:t>5 días hábiles posteriores a ser notificado, el sujeto obligado deberá</w:t>
            </w:r>
            <w:r>
              <w:rPr>
                <w:rFonts w:ascii="Arial" w:hAnsi="Arial" w:cs="Arial"/>
              </w:rPr>
              <w:t xml:space="preserve"> </w:t>
            </w:r>
            <w:r w:rsidRPr="00D144A4">
              <w:rPr>
                <w:rFonts w:ascii="Arial" w:hAnsi="Arial" w:cs="Arial"/>
              </w:rPr>
              <w:t>turnar los informes complementarios.</w:t>
            </w:r>
          </w:p>
          <w:p w:rsidR="00D144A4" w:rsidRPr="00D144A4" w:rsidRDefault="00D144A4" w:rsidP="00D144A4">
            <w:pPr>
              <w:pStyle w:val="Prrafodelista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D144A4">
              <w:rPr>
                <w:rFonts w:ascii="Arial" w:hAnsi="Arial" w:cs="Arial"/>
              </w:rPr>
              <w:t xml:space="preserve">20 días hábiles posteriores al término del plazo en que el sujeto obligado deba presentar su informe o, en su caso, los informes complementarios el Instituto deberá resolver el recurso de </w:t>
            </w:r>
            <w:r w:rsidR="00F75D68">
              <w:rPr>
                <w:rFonts w:ascii="Arial" w:hAnsi="Arial" w:cs="Arial"/>
              </w:rPr>
              <w:t>transparencia.</w:t>
            </w:r>
          </w:p>
          <w:p w:rsidR="00D144A4" w:rsidRDefault="00D144A4" w:rsidP="00D144A4">
            <w:pPr>
              <w:pStyle w:val="Prrafodelista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D144A4">
              <w:rPr>
                <w:rFonts w:ascii="Arial" w:hAnsi="Arial" w:cs="Arial"/>
              </w:rPr>
              <w:t>2 días hábiles siguientes a la emisión de la resolución del recurso de transparencia el Instituto deberá notificarla al promotor y al sujeto obligado.</w:t>
            </w:r>
          </w:p>
          <w:p w:rsidR="00D144A4" w:rsidRDefault="00D144A4" w:rsidP="00D144A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144A4" w:rsidRDefault="00D144A4" w:rsidP="00D144A4">
            <w:pPr>
              <w:pStyle w:val="Prrafodelista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 de Protección de Datos Personales.</w:t>
            </w:r>
          </w:p>
          <w:p w:rsidR="005A3321" w:rsidRPr="00D144A4" w:rsidRDefault="005A3321" w:rsidP="005A3321">
            <w:pPr>
              <w:pStyle w:val="Prrafodelista"/>
              <w:numPr>
                <w:ilvl w:val="0"/>
                <w:numId w:val="2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D144A4">
              <w:rPr>
                <w:rFonts w:ascii="Arial" w:hAnsi="Arial" w:cs="Arial"/>
              </w:rPr>
              <w:t>5 días hábiles posteriores a que presenta la solicitud para que el ITEI resuelva sobre la admisión del recurso de revisión presentado por el ciudadano.</w:t>
            </w:r>
          </w:p>
          <w:p w:rsidR="005A3321" w:rsidRPr="00D144A4" w:rsidRDefault="005A3321" w:rsidP="005A3321">
            <w:pPr>
              <w:pStyle w:val="Prrafodelista"/>
              <w:numPr>
                <w:ilvl w:val="0"/>
                <w:numId w:val="2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D144A4">
              <w:rPr>
                <w:rFonts w:ascii="Arial" w:hAnsi="Arial" w:cs="Arial"/>
              </w:rPr>
              <w:t xml:space="preserve">1 día hábil posterior a su admisión para que el ITEI notifique al promotor acerca de omisiones, documentos o requisitos faltantes. </w:t>
            </w:r>
          </w:p>
          <w:p w:rsidR="005A3321" w:rsidRPr="00D144A4" w:rsidRDefault="005A3321" w:rsidP="005A3321">
            <w:pPr>
              <w:pStyle w:val="Prrafodelista"/>
              <w:numPr>
                <w:ilvl w:val="0"/>
                <w:numId w:val="2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D144A4">
              <w:rPr>
                <w:rFonts w:ascii="Arial" w:hAnsi="Arial" w:cs="Arial"/>
              </w:rPr>
              <w:t>3 días hábiles posteriores a ser notificado, el ciudadano promotor tiene para subsanar la información o cumplimentar la faltante.</w:t>
            </w:r>
          </w:p>
          <w:p w:rsidR="005A3321" w:rsidRPr="00D144A4" w:rsidRDefault="005A3321" w:rsidP="005A3321">
            <w:pPr>
              <w:pStyle w:val="Prrafodelista"/>
              <w:numPr>
                <w:ilvl w:val="0"/>
                <w:numId w:val="2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D144A4">
              <w:rPr>
                <w:rFonts w:ascii="Arial" w:hAnsi="Arial" w:cs="Arial"/>
              </w:rPr>
              <w:t>2 días hábiles siguientes a la admisión del recurso, el ITEI deberá notificar al sujeto obligado y en su caso a terceros afectados.</w:t>
            </w:r>
          </w:p>
          <w:p w:rsidR="005A3321" w:rsidRPr="00D144A4" w:rsidRDefault="005A3321" w:rsidP="005A3321">
            <w:pPr>
              <w:pStyle w:val="Prrafodelista"/>
              <w:numPr>
                <w:ilvl w:val="0"/>
                <w:numId w:val="2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D144A4">
              <w:rPr>
                <w:rFonts w:ascii="Arial" w:hAnsi="Arial" w:cs="Arial"/>
              </w:rPr>
              <w:t xml:space="preserve">3 días hábiles posteriores a ser notificado, el sujeto obligado y en su caso, los terceros afectados deberán enviar al ITEI un informe de contestación al recurso de revisión. </w:t>
            </w:r>
          </w:p>
          <w:p w:rsidR="005A3321" w:rsidRPr="00D144A4" w:rsidRDefault="005A3321" w:rsidP="005A3321">
            <w:pPr>
              <w:pStyle w:val="Prrafodelista"/>
              <w:numPr>
                <w:ilvl w:val="0"/>
                <w:numId w:val="2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D144A4">
              <w:rPr>
                <w:rFonts w:ascii="Arial" w:hAnsi="Arial" w:cs="Arial"/>
              </w:rPr>
              <w:t>1</w:t>
            </w:r>
            <w:r w:rsidR="00F75D68">
              <w:rPr>
                <w:rFonts w:ascii="Arial" w:hAnsi="Arial" w:cs="Arial"/>
              </w:rPr>
              <w:t>5</w:t>
            </w:r>
            <w:r w:rsidRPr="00D144A4">
              <w:rPr>
                <w:rFonts w:ascii="Arial" w:hAnsi="Arial" w:cs="Arial"/>
              </w:rPr>
              <w:t xml:space="preserve"> días hábiles posteriores a recibir los informes, el ITEI deberá resolver el recurso de revisión. </w:t>
            </w:r>
          </w:p>
          <w:p w:rsidR="005A3321" w:rsidRDefault="00B76F75" w:rsidP="00606956">
            <w:pPr>
              <w:pStyle w:val="Prrafodelista"/>
              <w:numPr>
                <w:ilvl w:val="0"/>
                <w:numId w:val="21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A3321" w:rsidRPr="00D144A4">
              <w:rPr>
                <w:rFonts w:ascii="Arial" w:hAnsi="Arial" w:cs="Arial"/>
              </w:rPr>
              <w:t xml:space="preserve"> días hábiles posteriores a la emisión de la resolución el ITEI deberá de notificar al ciudadano y a las partes, apercibiendo al sujeto obligado de la procedencia de las medidas de apremio en caso de incumplimiento.</w:t>
            </w:r>
          </w:p>
          <w:p w:rsidR="00630EDA" w:rsidRDefault="00630EDA" w:rsidP="00630ED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630EDA" w:rsidRPr="00630EDA" w:rsidRDefault="00630EDA" w:rsidP="00630ED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30EDA">
              <w:rPr>
                <w:rFonts w:ascii="Arial" w:hAnsi="Arial" w:cs="Arial"/>
              </w:rPr>
              <w:t>La resolución debe emitirse dentro de los 50 días hábiles siguientes a la presentación del recurso. El Pleno del Instituto podrá</w:t>
            </w:r>
            <w:r>
              <w:rPr>
                <w:rFonts w:ascii="Arial" w:hAnsi="Arial" w:cs="Arial"/>
              </w:rPr>
              <w:t xml:space="preserve"> </w:t>
            </w:r>
            <w:r w:rsidRPr="00630EDA">
              <w:rPr>
                <w:rFonts w:ascii="Arial" w:hAnsi="Arial" w:cs="Arial"/>
              </w:rPr>
              <w:t>ampliar este plazo por una vez, y hasta por un periodo igual, cuando existan razones que lo motiven y siempre y cuando</w:t>
            </w:r>
            <w:r>
              <w:rPr>
                <w:rFonts w:ascii="Arial" w:hAnsi="Arial" w:cs="Arial"/>
              </w:rPr>
              <w:t xml:space="preserve"> </w:t>
            </w:r>
            <w:r w:rsidRPr="00630EDA">
              <w:rPr>
                <w:rFonts w:ascii="Arial" w:hAnsi="Arial" w:cs="Arial"/>
              </w:rPr>
              <w:t>éstas le sean notificadas al recurrente.</w:t>
            </w:r>
          </w:p>
        </w:tc>
      </w:tr>
    </w:tbl>
    <w:p w:rsidR="00C529F0" w:rsidRPr="005F7C78" w:rsidRDefault="00C529F0" w:rsidP="00972CDD">
      <w:pPr>
        <w:spacing w:line="276" w:lineRule="auto"/>
        <w:jc w:val="both"/>
        <w:rPr>
          <w:rFonts w:ascii="Arial" w:hAnsi="Arial" w:cs="Arial"/>
          <w:b/>
        </w:rPr>
      </w:pPr>
    </w:p>
    <w:p w:rsidR="00CA6311" w:rsidRPr="005F7C78" w:rsidRDefault="00CA6311" w:rsidP="00CA6311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adicional</w:t>
      </w:r>
      <w:r w:rsidRPr="005F7C78">
        <w:rPr>
          <w:rFonts w:ascii="Arial" w:hAnsi="Arial" w:cs="Arial"/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6311" w:rsidRPr="005F7C78" w:rsidTr="007A6514">
        <w:tc>
          <w:tcPr>
            <w:tcW w:w="8828" w:type="dxa"/>
          </w:tcPr>
          <w:p w:rsidR="00CA6311" w:rsidRDefault="00CA6311" w:rsidP="00CA631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F7C78">
              <w:rPr>
                <w:rFonts w:ascii="Arial" w:hAnsi="Arial" w:cs="Arial"/>
              </w:rPr>
              <w:t xml:space="preserve">Podrá encontrar información </w:t>
            </w:r>
            <w:r w:rsidR="006F7D49">
              <w:rPr>
                <w:rFonts w:ascii="Arial" w:hAnsi="Arial" w:cs="Arial"/>
              </w:rPr>
              <w:t xml:space="preserve">referente a los manuales para interponer recursos </w:t>
            </w:r>
            <w:r w:rsidRPr="005F7C78">
              <w:rPr>
                <w:rFonts w:ascii="Arial" w:hAnsi="Arial" w:cs="Arial"/>
              </w:rPr>
              <w:t>mediante el siguiente link: http://imjuve.tlaquepaque.gob.mx/articulo-8/i/m-el-manual-y-formato-de-solicitud-de-informacion-publica/</w:t>
            </w:r>
          </w:p>
          <w:p w:rsidR="00CA6311" w:rsidRDefault="00CA6311" w:rsidP="00CA63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6F7D49" w:rsidRPr="006F7D49" w:rsidRDefault="006F7D49" w:rsidP="006F7D4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seguimiento de los recursos </w:t>
            </w:r>
            <w:r w:rsidR="00F86426">
              <w:rPr>
                <w:rFonts w:ascii="Arial" w:hAnsi="Arial" w:cs="Arial"/>
              </w:rPr>
              <w:t xml:space="preserve">se deberá de hacer ante el ITEI ubicado en </w:t>
            </w:r>
            <w:r w:rsidRPr="006F7D49">
              <w:rPr>
                <w:rFonts w:ascii="Arial" w:hAnsi="Arial" w:cs="Arial"/>
              </w:rPr>
              <w:t>Av. Vallarta 1312 Colonia Americana</w:t>
            </w:r>
            <w:r w:rsidR="00F86426">
              <w:rPr>
                <w:rFonts w:ascii="Arial" w:hAnsi="Arial" w:cs="Arial"/>
              </w:rPr>
              <w:t>,</w:t>
            </w:r>
            <w:r w:rsidRPr="006F7D49">
              <w:rPr>
                <w:rFonts w:ascii="Arial" w:hAnsi="Arial" w:cs="Arial"/>
              </w:rPr>
              <w:t xml:space="preserve"> Guadalajara, Jalisco</w:t>
            </w:r>
            <w:r w:rsidR="00F86426">
              <w:rPr>
                <w:rFonts w:ascii="Arial" w:hAnsi="Arial" w:cs="Arial"/>
              </w:rPr>
              <w:t>.</w:t>
            </w:r>
          </w:p>
          <w:p w:rsidR="006F7D49" w:rsidRDefault="006F7D49" w:rsidP="006F7D4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F7D49">
              <w:rPr>
                <w:rFonts w:ascii="Arial" w:hAnsi="Arial" w:cs="Arial"/>
              </w:rPr>
              <w:t>Teléfono 36305745 extensión 3900</w:t>
            </w:r>
          </w:p>
          <w:p w:rsidR="006F7D49" w:rsidRPr="005F7C78" w:rsidRDefault="006F7D49" w:rsidP="006F7D4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F7D49">
              <w:rPr>
                <w:rFonts w:ascii="Arial" w:hAnsi="Arial" w:cs="Arial"/>
              </w:rPr>
              <w:t>http://www.itei.org.mx/</w:t>
            </w:r>
          </w:p>
        </w:tc>
      </w:tr>
    </w:tbl>
    <w:p w:rsidR="00CA6311" w:rsidRDefault="00CA6311" w:rsidP="00972CDD">
      <w:pPr>
        <w:spacing w:line="276" w:lineRule="auto"/>
        <w:jc w:val="both"/>
        <w:rPr>
          <w:rFonts w:ascii="Arial" w:hAnsi="Arial" w:cs="Arial"/>
          <w:b/>
        </w:rPr>
      </w:pPr>
    </w:p>
    <w:p w:rsidR="00E844EF" w:rsidRPr="005F7C78" w:rsidRDefault="00E844EF" w:rsidP="00E844E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C529F0" w:rsidRPr="005F7C78">
        <w:rPr>
          <w:rFonts w:ascii="Arial" w:hAnsi="Arial" w:cs="Arial"/>
          <w:b/>
        </w:rPr>
        <w:t xml:space="preserve">atos </w:t>
      </w:r>
      <w:r w:rsidR="009A5E46" w:rsidRPr="005F7C78">
        <w:rPr>
          <w:rFonts w:ascii="Arial" w:hAnsi="Arial" w:cs="Arial"/>
          <w:b/>
        </w:rPr>
        <w:t>per</w:t>
      </w:r>
      <w:r w:rsidR="00AA3DAF" w:rsidRPr="005F7C78">
        <w:rPr>
          <w:rFonts w:ascii="Arial" w:hAnsi="Arial" w:cs="Arial"/>
          <w:b/>
        </w:rPr>
        <w:t xml:space="preserve">sonales </w:t>
      </w:r>
      <w:r w:rsidR="00E9798B">
        <w:rPr>
          <w:rFonts w:ascii="Arial" w:hAnsi="Arial" w:cs="Arial"/>
          <w:b/>
        </w:rPr>
        <w:t>requeridos para el servicio</w:t>
      </w:r>
      <w:r w:rsidR="00AA3DAF" w:rsidRPr="005F7C78">
        <w:rPr>
          <w:rFonts w:ascii="Arial" w:hAnsi="Arial" w:cs="Arial"/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844EF" w:rsidRPr="005F7C78" w:rsidTr="007A6514">
        <w:tc>
          <w:tcPr>
            <w:tcW w:w="8828" w:type="dxa"/>
          </w:tcPr>
          <w:p w:rsidR="00E9798B" w:rsidRDefault="00F86426" w:rsidP="007A651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forma generalizada, el recurrente necesitara </w:t>
            </w:r>
            <w:r w:rsidR="00205188">
              <w:rPr>
                <w:rFonts w:ascii="Arial" w:hAnsi="Arial" w:cs="Arial"/>
              </w:rPr>
              <w:t xml:space="preserve">identificarse </w:t>
            </w:r>
            <w:r>
              <w:rPr>
                <w:rFonts w:ascii="Arial" w:hAnsi="Arial" w:cs="Arial"/>
              </w:rPr>
              <w:t>como el titular de la solicitud de inconformidad</w:t>
            </w:r>
            <w:r w:rsidR="00205188">
              <w:rPr>
                <w:rFonts w:ascii="Arial" w:hAnsi="Arial" w:cs="Arial"/>
              </w:rPr>
              <w:t xml:space="preserve">, por tal motivo, se </w:t>
            </w:r>
            <w:r w:rsidR="00E9798B">
              <w:rPr>
                <w:rFonts w:ascii="Arial" w:hAnsi="Arial" w:cs="Arial"/>
              </w:rPr>
              <w:t>tendrá acceso a los siguientes datos personales:</w:t>
            </w:r>
          </w:p>
          <w:p w:rsidR="00E844EF" w:rsidRDefault="00E9798B" w:rsidP="00E9798B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Nombre completo;</w:t>
            </w:r>
          </w:p>
          <w:p w:rsidR="00A24CA8" w:rsidRDefault="00A24CA8" w:rsidP="00E9798B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Identificación oficial;</w:t>
            </w:r>
          </w:p>
          <w:p w:rsidR="00E9798B" w:rsidRDefault="00E9798B" w:rsidP="00E9798B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Domicilio;</w:t>
            </w:r>
          </w:p>
          <w:p w:rsidR="00E9798B" w:rsidRDefault="00E9798B" w:rsidP="00E9798B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telefónico;</w:t>
            </w:r>
            <w:r w:rsidR="00FF31EC">
              <w:rPr>
                <w:rFonts w:ascii="Arial" w:hAnsi="Arial" w:cs="Arial"/>
              </w:rPr>
              <w:t xml:space="preserve"> y</w:t>
            </w:r>
          </w:p>
          <w:p w:rsidR="00E9798B" w:rsidRPr="005F7C78" w:rsidRDefault="00E9798B" w:rsidP="00FF31EC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  <w:r w:rsidR="00FF31EC">
              <w:rPr>
                <w:rFonts w:ascii="Arial" w:hAnsi="Arial" w:cs="Arial"/>
              </w:rPr>
              <w:t>.</w:t>
            </w:r>
          </w:p>
        </w:tc>
      </w:tr>
    </w:tbl>
    <w:p w:rsidR="00AA3DAF" w:rsidRPr="005F7C78" w:rsidRDefault="00AA3DAF" w:rsidP="00972CDD">
      <w:pPr>
        <w:spacing w:line="276" w:lineRule="auto"/>
        <w:jc w:val="both"/>
        <w:rPr>
          <w:rFonts w:ascii="Arial" w:hAnsi="Arial" w:cs="Arial"/>
          <w:b/>
        </w:rPr>
      </w:pPr>
    </w:p>
    <w:p w:rsidR="003C4EF9" w:rsidRPr="005F7C78" w:rsidRDefault="005C396D" w:rsidP="003C4EF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Control de emisión</w:t>
      </w:r>
      <w:r w:rsidR="003C4EF9" w:rsidRPr="005F7C78">
        <w:rPr>
          <w:rFonts w:ascii="Arial" w:hAnsi="Arial" w:cs="Arial"/>
          <w:b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2410"/>
        <w:gridCol w:w="2615"/>
      </w:tblGrid>
      <w:tr w:rsidR="00D642EF" w:rsidTr="006F68C0">
        <w:trPr>
          <w:jc w:val="center"/>
        </w:trPr>
        <w:tc>
          <w:tcPr>
            <w:tcW w:w="3794" w:type="dxa"/>
          </w:tcPr>
          <w:p w:rsidR="00D642EF" w:rsidRDefault="00D642EF" w:rsidP="006F68C0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Participantes</w:t>
            </w:r>
          </w:p>
        </w:tc>
        <w:tc>
          <w:tcPr>
            <w:tcW w:w="2410" w:type="dxa"/>
          </w:tcPr>
          <w:p w:rsidR="00D642EF" w:rsidRDefault="00D642EF" w:rsidP="006F68C0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2615" w:type="dxa"/>
          </w:tcPr>
          <w:p w:rsidR="00D642EF" w:rsidRDefault="00D642EF" w:rsidP="006F68C0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D642EF" w:rsidTr="006F68C0">
        <w:trPr>
          <w:jc w:val="center"/>
        </w:trPr>
        <w:tc>
          <w:tcPr>
            <w:tcW w:w="3794" w:type="dxa"/>
          </w:tcPr>
          <w:p w:rsidR="00D642EF" w:rsidRPr="002B3DEE" w:rsidRDefault="00D642EF" w:rsidP="006F68C0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B3DEE">
              <w:rPr>
                <w:rFonts w:ascii="Arial" w:hAnsi="Arial" w:cs="Arial"/>
                <w:b/>
              </w:rPr>
              <w:t>Elabor</w:t>
            </w:r>
            <w:r>
              <w:rPr>
                <w:rFonts w:ascii="Arial" w:hAnsi="Arial" w:cs="Arial"/>
                <w:b/>
              </w:rPr>
              <w:t>ó</w:t>
            </w:r>
            <w:r w:rsidRPr="002B3DEE">
              <w:rPr>
                <w:rFonts w:ascii="Arial" w:hAnsi="Arial" w:cs="Arial"/>
                <w:b/>
              </w:rPr>
              <w:t>:</w:t>
            </w:r>
          </w:p>
          <w:p w:rsidR="00D642EF" w:rsidRDefault="00D642EF" w:rsidP="006F68C0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Claudia Georgina Macedo Martínez</w:t>
            </w:r>
          </w:p>
          <w:p w:rsidR="00D642EF" w:rsidRPr="005C396D" w:rsidRDefault="00D642EF" w:rsidP="006F68C0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Encargada de la Unidad de Transparencia</w:t>
            </w:r>
          </w:p>
        </w:tc>
        <w:tc>
          <w:tcPr>
            <w:tcW w:w="2410" w:type="dxa"/>
          </w:tcPr>
          <w:p w:rsidR="00D642EF" w:rsidRDefault="00D642EF" w:rsidP="006F68C0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D642EF" w:rsidRPr="005C396D" w:rsidRDefault="00D642EF" w:rsidP="006F68C0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de Julio del 2016</w:t>
            </w:r>
          </w:p>
        </w:tc>
        <w:tc>
          <w:tcPr>
            <w:tcW w:w="2615" w:type="dxa"/>
          </w:tcPr>
          <w:p w:rsidR="00D642EF" w:rsidRPr="005C396D" w:rsidRDefault="00D642EF" w:rsidP="006F68C0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42EF" w:rsidTr="006F68C0">
        <w:trPr>
          <w:jc w:val="center"/>
        </w:trPr>
        <w:tc>
          <w:tcPr>
            <w:tcW w:w="3794" w:type="dxa"/>
          </w:tcPr>
          <w:p w:rsidR="00D642EF" w:rsidRPr="002B3DEE" w:rsidRDefault="00D642EF" w:rsidP="006F68C0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B3DEE">
              <w:rPr>
                <w:rFonts w:ascii="Arial" w:hAnsi="Arial" w:cs="Arial"/>
                <w:b/>
              </w:rPr>
              <w:t>Responsable:</w:t>
            </w:r>
          </w:p>
          <w:p w:rsidR="00D642EF" w:rsidRDefault="00D642EF" w:rsidP="006F68C0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Nancy </w:t>
            </w:r>
            <w:proofErr w:type="spellStart"/>
            <w:r>
              <w:rPr>
                <w:rFonts w:ascii="Arial" w:hAnsi="Arial" w:cs="Arial"/>
              </w:rPr>
              <w:t>Naraly</w:t>
            </w:r>
            <w:proofErr w:type="spellEnd"/>
            <w:r>
              <w:rPr>
                <w:rFonts w:ascii="Arial" w:hAnsi="Arial" w:cs="Arial"/>
              </w:rPr>
              <w:t xml:space="preserve"> González Ramírez</w:t>
            </w:r>
          </w:p>
          <w:p w:rsidR="00D642EF" w:rsidRPr="005C396D" w:rsidRDefault="00D642EF" w:rsidP="006F68C0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Directora General del Instituto Municipal de la Juventud en Tlaquepaque</w:t>
            </w:r>
          </w:p>
        </w:tc>
        <w:tc>
          <w:tcPr>
            <w:tcW w:w="2410" w:type="dxa"/>
          </w:tcPr>
          <w:p w:rsidR="00D642EF" w:rsidRDefault="00D642EF" w:rsidP="006F68C0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D642EF" w:rsidRPr="005C396D" w:rsidRDefault="00D642EF" w:rsidP="006F68C0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de Julio del 2016</w:t>
            </w:r>
          </w:p>
        </w:tc>
        <w:tc>
          <w:tcPr>
            <w:tcW w:w="2615" w:type="dxa"/>
          </w:tcPr>
          <w:p w:rsidR="00D642EF" w:rsidRPr="005C396D" w:rsidRDefault="00D642EF" w:rsidP="006F68C0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642EF" w:rsidTr="006F68C0">
        <w:trPr>
          <w:jc w:val="center"/>
        </w:trPr>
        <w:tc>
          <w:tcPr>
            <w:tcW w:w="3794" w:type="dxa"/>
          </w:tcPr>
          <w:p w:rsidR="00D642EF" w:rsidRPr="002B3DEE" w:rsidRDefault="00D642EF" w:rsidP="006F68C0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B3DEE">
              <w:rPr>
                <w:rFonts w:ascii="Arial" w:hAnsi="Arial" w:cs="Arial"/>
                <w:b/>
              </w:rPr>
              <w:t>Revisó:</w:t>
            </w:r>
          </w:p>
          <w:p w:rsidR="00D642EF" w:rsidRPr="005C396D" w:rsidRDefault="00D642EF" w:rsidP="006F68C0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Junta de Gobierno del Instituto Municipal de la Juventud de San Pedro Tlaquepaque</w:t>
            </w:r>
          </w:p>
        </w:tc>
        <w:tc>
          <w:tcPr>
            <w:tcW w:w="2410" w:type="dxa"/>
          </w:tcPr>
          <w:p w:rsidR="00D642EF" w:rsidRDefault="00D642EF" w:rsidP="006F68C0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D642EF" w:rsidRPr="005C396D" w:rsidRDefault="00D642EF" w:rsidP="006F68C0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de Marzo del 2017</w:t>
            </w:r>
          </w:p>
        </w:tc>
        <w:tc>
          <w:tcPr>
            <w:tcW w:w="2615" w:type="dxa"/>
          </w:tcPr>
          <w:p w:rsidR="00D642EF" w:rsidRPr="005C396D" w:rsidRDefault="00D642EF" w:rsidP="006F68C0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Plasmadas en el Acta del Acuerdo de la Junta de Gobierno de fecha 17 de Marzo del 2017</w:t>
            </w:r>
          </w:p>
        </w:tc>
      </w:tr>
      <w:tr w:rsidR="00D642EF" w:rsidTr="006F68C0">
        <w:trPr>
          <w:jc w:val="center"/>
        </w:trPr>
        <w:tc>
          <w:tcPr>
            <w:tcW w:w="3794" w:type="dxa"/>
          </w:tcPr>
          <w:p w:rsidR="00D642EF" w:rsidRPr="002B3DEE" w:rsidRDefault="00D642EF" w:rsidP="006F68C0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B3DEE">
              <w:rPr>
                <w:rFonts w:ascii="Arial" w:hAnsi="Arial" w:cs="Arial"/>
                <w:b/>
              </w:rPr>
              <w:t>Validó:</w:t>
            </w:r>
          </w:p>
          <w:p w:rsidR="00D642EF" w:rsidRPr="005C396D" w:rsidRDefault="00D642EF" w:rsidP="006F68C0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Junta de Gobierno del Instituto Municipal de la Juventud de San Pedro Tlaquepaque</w:t>
            </w:r>
          </w:p>
        </w:tc>
        <w:tc>
          <w:tcPr>
            <w:tcW w:w="2410" w:type="dxa"/>
          </w:tcPr>
          <w:p w:rsidR="00D642EF" w:rsidRPr="005C396D" w:rsidRDefault="00D642EF" w:rsidP="006F68C0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de Marzo del 2017</w:t>
            </w:r>
          </w:p>
        </w:tc>
        <w:tc>
          <w:tcPr>
            <w:tcW w:w="2615" w:type="dxa"/>
          </w:tcPr>
          <w:p w:rsidR="00D642EF" w:rsidRPr="005C396D" w:rsidRDefault="00D642EF" w:rsidP="006F68C0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Plasmadas en el Acta del Acuerdo de la Junta de Gobierno de fecha 17 de Marzo del 2017</w:t>
            </w:r>
          </w:p>
        </w:tc>
      </w:tr>
    </w:tbl>
    <w:p w:rsidR="00880EE8" w:rsidRPr="00CC03FE" w:rsidRDefault="00880EE8" w:rsidP="00972CDD">
      <w:pPr>
        <w:pStyle w:val="Prrafodelista"/>
        <w:spacing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9C20F0" w:rsidRPr="005C396D" w:rsidRDefault="009C20F0" w:rsidP="00972CDD">
      <w:pPr>
        <w:pStyle w:val="Prrafodelista"/>
        <w:spacing w:line="276" w:lineRule="auto"/>
        <w:jc w:val="both"/>
        <w:rPr>
          <w:rFonts w:ascii="Arial" w:hAnsi="Arial" w:cs="Arial"/>
          <w:b/>
        </w:rPr>
      </w:pPr>
    </w:p>
    <w:p w:rsidR="006A7E30" w:rsidRPr="009C6B2A" w:rsidRDefault="006A7E30" w:rsidP="00972CDD">
      <w:pPr>
        <w:pStyle w:val="Prrafodelista"/>
        <w:spacing w:line="276" w:lineRule="auto"/>
        <w:jc w:val="both"/>
        <w:rPr>
          <w:rFonts w:ascii="Arial" w:hAnsi="Arial" w:cs="Arial"/>
        </w:rPr>
      </w:pPr>
    </w:p>
    <w:sectPr w:rsidR="006A7E30" w:rsidRPr="009C6B2A" w:rsidSect="00E4233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BBB" w:rsidRDefault="00721BBB" w:rsidP="0005040E">
      <w:pPr>
        <w:spacing w:after="0" w:line="240" w:lineRule="auto"/>
      </w:pPr>
      <w:r>
        <w:separator/>
      </w:r>
    </w:p>
  </w:endnote>
  <w:endnote w:type="continuationSeparator" w:id="0">
    <w:p w:rsidR="00721BBB" w:rsidRDefault="00721BBB" w:rsidP="0005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6213"/>
      <w:docPartObj>
        <w:docPartGallery w:val="Page Numbers (Bottom of Page)"/>
        <w:docPartUnique/>
      </w:docPartObj>
    </w:sdtPr>
    <w:sdtEndPr/>
    <w:sdtContent>
      <w:p w:rsidR="00A21343" w:rsidRDefault="00721BBB">
        <w:pPr>
          <w:pStyle w:val="Piedepgina"/>
        </w:pPr>
        <w:r>
          <w:rPr>
            <w:noProof/>
            <w:lang w:val="es-ES"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0" type="#_x0000_t185" style="position:absolute;margin-left:0;margin-top:0;width:44.45pt;height:18.8pt;z-index:251662336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A21343" w:rsidRDefault="00A0002D">
                    <w:pPr>
                      <w:jc w:val="center"/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fldChar w:fldCharType="begin"/>
                    </w:r>
                    <w:r w:rsidR="00A21343">
                      <w:rPr>
                        <w:lang w:val="es-ES"/>
                      </w:rPr>
                      <w:instrText xml:space="preserve"> PAGE    \* MERGEFORMAT </w:instrText>
                    </w:r>
                    <w:r>
                      <w:rPr>
                        <w:lang w:val="es-ES"/>
                      </w:rPr>
                      <w:fldChar w:fldCharType="separate"/>
                    </w:r>
                    <w:r w:rsidR="00D642EF" w:rsidRPr="00D642EF">
                      <w:rPr>
                        <w:noProof/>
                      </w:rPr>
                      <w:t>7</w:t>
                    </w:r>
                    <w:r>
                      <w:rPr>
                        <w:lang w:val="es-ES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val="es-ES"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0;margin-top:0;width:434.5pt;height:0;z-index:251661312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BBB" w:rsidRDefault="00721BBB" w:rsidP="0005040E">
      <w:pPr>
        <w:spacing w:after="0" w:line="240" w:lineRule="auto"/>
      </w:pPr>
      <w:r>
        <w:separator/>
      </w:r>
    </w:p>
  </w:footnote>
  <w:footnote w:type="continuationSeparator" w:id="0">
    <w:p w:rsidR="00721BBB" w:rsidRDefault="00721BBB" w:rsidP="00050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281" w:type="dxa"/>
      <w:jc w:val="center"/>
      <w:tblInd w:w="-459" w:type="dxa"/>
      <w:tblLook w:val="04A0" w:firstRow="1" w:lastRow="0" w:firstColumn="1" w:lastColumn="0" w:noHBand="0" w:noVBand="1"/>
    </w:tblPr>
    <w:tblGrid>
      <w:gridCol w:w="2709"/>
      <w:gridCol w:w="2357"/>
      <w:gridCol w:w="2694"/>
      <w:gridCol w:w="2521"/>
    </w:tblGrid>
    <w:tr w:rsidR="00225FD5" w:rsidRPr="009C6B2A" w:rsidTr="00225FD5">
      <w:trPr>
        <w:trHeight w:val="528"/>
        <w:jc w:val="center"/>
      </w:trPr>
      <w:tc>
        <w:tcPr>
          <w:tcW w:w="2709" w:type="dxa"/>
          <w:vMerge w:val="restart"/>
        </w:tcPr>
        <w:p w:rsidR="00225FD5" w:rsidRDefault="00225FD5" w:rsidP="007A6514">
          <w:pPr>
            <w:pStyle w:val="Prrafodelista"/>
            <w:spacing w:line="276" w:lineRule="auto"/>
            <w:ind w:left="0"/>
            <w:jc w:val="both"/>
            <w:rPr>
              <w:rFonts w:ascii="Arial" w:hAnsi="Arial" w:cs="Arial"/>
              <w:lang w:val="en-US"/>
            </w:rPr>
          </w:pPr>
          <w:r w:rsidRPr="00FB6CB1">
            <w:rPr>
              <w:rFonts w:ascii="Arial" w:hAnsi="Arial" w:cs="Arial"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64135</wp:posOffset>
                </wp:positionV>
                <wp:extent cx="1564005" cy="586740"/>
                <wp:effectExtent l="19050" t="0" r="0" b="0"/>
                <wp:wrapThrough wrapText="bothSides">
                  <wp:wrapPolygon edited="0">
                    <wp:start x="1052" y="0"/>
                    <wp:lineTo x="-263" y="2805"/>
                    <wp:lineTo x="789" y="21039"/>
                    <wp:lineTo x="1315" y="21039"/>
                    <wp:lineTo x="3946" y="21039"/>
                    <wp:lineTo x="21574" y="21039"/>
                    <wp:lineTo x="21574" y="16831"/>
                    <wp:lineTo x="17364" y="9117"/>
                    <wp:lineTo x="4473" y="0"/>
                    <wp:lineTo x="1052" y="0"/>
                  </wp:wrapPolygon>
                </wp:wrapThrough>
                <wp:docPr id="5" name="Imagen 2" descr="C:\Users\Juventud_1\Desktop\IMJUVE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C:\Users\Juventud_1\Desktop\IMJUVE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400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72" w:type="dxa"/>
          <w:gridSpan w:val="3"/>
        </w:tcPr>
        <w:p w:rsidR="00225FD5" w:rsidRPr="00BD47CD" w:rsidRDefault="00225FD5" w:rsidP="006643CF">
          <w:pPr>
            <w:pStyle w:val="Prrafodelista"/>
            <w:spacing w:line="276" w:lineRule="auto"/>
            <w:ind w:left="0"/>
            <w:jc w:val="center"/>
            <w:rPr>
              <w:rFonts w:ascii="Arial" w:hAnsi="Arial" w:cs="Arial"/>
              <w:b/>
              <w:color w:val="00B0F0"/>
            </w:rPr>
          </w:pPr>
          <w:r w:rsidRPr="00BD47CD">
            <w:rPr>
              <w:rFonts w:ascii="Arial" w:hAnsi="Arial" w:cs="Arial"/>
              <w:b/>
              <w:color w:val="00B0F0"/>
            </w:rPr>
            <w:t xml:space="preserve">Solicitud de </w:t>
          </w:r>
          <w:r w:rsidR="002645CF">
            <w:rPr>
              <w:rFonts w:ascii="Arial" w:hAnsi="Arial" w:cs="Arial"/>
              <w:b/>
              <w:color w:val="00B0F0"/>
            </w:rPr>
            <w:t xml:space="preserve">Recurso de </w:t>
          </w:r>
          <w:r w:rsidR="006643CF">
            <w:rPr>
              <w:rFonts w:ascii="Arial" w:hAnsi="Arial" w:cs="Arial"/>
              <w:b/>
              <w:color w:val="00B0F0"/>
            </w:rPr>
            <w:t>Impugnación</w:t>
          </w:r>
          <w:r w:rsidR="002645CF">
            <w:rPr>
              <w:rFonts w:ascii="Arial" w:hAnsi="Arial" w:cs="Arial"/>
              <w:b/>
              <w:color w:val="00B0F0"/>
            </w:rPr>
            <w:t xml:space="preserve"> contra</w:t>
          </w:r>
          <w:r w:rsidRPr="00BD47CD">
            <w:rPr>
              <w:rFonts w:ascii="Arial" w:hAnsi="Arial" w:cs="Arial"/>
              <w:b/>
              <w:color w:val="00B0F0"/>
            </w:rPr>
            <w:t xml:space="preserve"> el Instituto Municipal de la Juventud en Tlaquepaque</w:t>
          </w:r>
        </w:p>
      </w:tc>
    </w:tr>
    <w:tr w:rsidR="00225FD5" w:rsidRPr="009C6B2A" w:rsidTr="00225FD5">
      <w:trPr>
        <w:trHeight w:val="503"/>
        <w:jc w:val="center"/>
      </w:trPr>
      <w:tc>
        <w:tcPr>
          <w:tcW w:w="2709" w:type="dxa"/>
          <w:vMerge/>
        </w:tcPr>
        <w:p w:rsidR="00225FD5" w:rsidRPr="009C6B2A" w:rsidRDefault="00225FD5" w:rsidP="007A6514">
          <w:pPr>
            <w:pStyle w:val="Prrafodelista"/>
            <w:spacing w:line="276" w:lineRule="auto"/>
            <w:ind w:left="0"/>
            <w:jc w:val="both"/>
            <w:rPr>
              <w:rFonts w:ascii="Arial" w:hAnsi="Arial" w:cs="Arial"/>
            </w:rPr>
          </w:pPr>
        </w:p>
      </w:tc>
      <w:tc>
        <w:tcPr>
          <w:tcW w:w="2357" w:type="dxa"/>
        </w:tcPr>
        <w:p w:rsidR="00225FD5" w:rsidRPr="00BD47CD" w:rsidRDefault="00225FD5" w:rsidP="007A6514">
          <w:pPr>
            <w:pStyle w:val="Prrafodelista"/>
            <w:spacing w:line="276" w:lineRule="auto"/>
            <w:ind w:left="0"/>
            <w:jc w:val="center"/>
            <w:rPr>
              <w:rFonts w:ascii="Arial" w:hAnsi="Arial" w:cs="Arial"/>
              <w:b/>
            </w:rPr>
          </w:pPr>
          <w:r w:rsidRPr="00BD47CD">
            <w:rPr>
              <w:rFonts w:ascii="Arial" w:hAnsi="Arial" w:cs="Arial"/>
              <w:b/>
            </w:rPr>
            <w:t>Clave:</w:t>
          </w:r>
        </w:p>
        <w:p w:rsidR="00225FD5" w:rsidRPr="00BD47CD" w:rsidRDefault="007D5B5E" w:rsidP="007A6514">
          <w:pPr>
            <w:pStyle w:val="Prrafodelista"/>
            <w:spacing w:line="276" w:lineRule="auto"/>
            <w:ind w:left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001/5</w:t>
          </w:r>
        </w:p>
      </w:tc>
      <w:tc>
        <w:tcPr>
          <w:tcW w:w="2694" w:type="dxa"/>
        </w:tcPr>
        <w:p w:rsidR="00225FD5" w:rsidRPr="00BD47CD" w:rsidRDefault="00225FD5" w:rsidP="007A6514">
          <w:pPr>
            <w:pStyle w:val="Prrafodelista"/>
            <w:spacing w:line="276" w:lineRule="auto"/>
            <w:ind w:left="0"/>
            <w:jc w:val="center"/>
            <w:rPr>
              <w:rFonts w:ascii="Arial" w:hAnsi="Arial" w:cs="Arial"/>
              <w:b/>
            </w:rPr>
          </w:pPr>
          <w:r w:rsidRPr="00BD47CD">
            <w:rPr>
              <w:rFonts w:ascii="Arial" w:hAnsi="Arial" w:cs="Arial"/>
              <w:b/>
            </w:rPr>
            <w:t>Fecha de Elaboración:</w:t>
          </w:r>
        </w:p>
        <w:p w:rsidR="00225FD5" w:rsidRPr="00BD47CD" w:rsidRDefault="00225FD5" w:rsidP="007A6514">
          <w:pPr>
            <w:pStyle w:val="Prrafodelista"/>
            <w:spacing w:line="276" w:lineRule="auto"/>
            <w:ind w:left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27 de Julio del 2016</w:t>
          </w:r>
        </w:p>
      </w:tc>
      <w:tc>
        <w:tcPr>
          <w:tcW w:w="2521" w:type="dxa"/>
        </w:tcPr>
        <w:p w:rsidR="00225FD5" w:rsidRPr="00BD47CD" w:rsidRDefault="00225FD5" w:rsidP="007A6514">
          <w:pPr>
            <w:pStyle w:val="Prrafodelista"/>
            <w:spacing w:line="276" w:lineRule="auto"/>
            <w:ind w:left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Número de Revisión</w:t>
          </w:r>
          <w:r w:rsidRPr="00BD47CD">
            <w:rPr>
              <w:rFonts w:ascii="Arial" w:hAnsi="Arial" w:cs="Arial"/>
              <w:b/>
            </w:rPr>
            <w:t>:</w:t>
          </w:r>
        </w:p>
        <w:p w:rsidR="00225FD5" w:rsidRPr="00BD47CD" w:rsidRDefault="00D642EF" w:rsidP="007A6514">
          <w:pPr>
            <w:pStyle w:val="Prrafodelista"/>
            <w:spacing w:line="276" w:lineRule="auto"/>
            <w:ind w:left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001</w:t>
          </w:r>
        </w:p>
      </w:tc>
    </w:tr>
  </w:tbl>
  <w:p w:rsidR="0005040E" w:rsidRDefault="0005040E" w:rsidP="00225F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9E4"/>
    <w:multiLevelType w:val="hybridMultilevel"/>
    <w:tmpl w:val="FF5E669E"/>
    <w:lvl w:ilvl="0" w:tplc="DE723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AD15C4"/>
    <w:multiLevelType w:val="hybridMultilevel"/>
    <w:tmpl w:val="A3185E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D2218"/>
    <w:multiLevelType w:val="hybridMultilevel"/>
    <w:tmpl w:val="EAA209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967894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F1FF5"/>
    <w:multiLevelType w:val="hybridMultilevel"/>
    <w:tmpl w:val="7A348812"/>
    <w:lvl w:ilvl="0" w:tplc="5DC237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E27CBB"/>
    <w:multiLevelType w:val="multilevel"/>
    <w:tmpl w:val="EBBE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BB7AB8"/>
    <w:multiLevelType w:val="hybridMultilevel"/>
    <w:tmpl w:val="7A348812"/>
    <w:lvl w:ilvl="0" w:tplc="5DC237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04672B"/>
    <w:multiLevelType w:val="hybridMultilevel"/>
    <w:tmpl w:val="3CAC06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96F06"/>
    <w:multiLevelType w:val="hybridMultilevel"/>
    <w:tmpl w:val="0874A4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B7B66"/>
    <w:multiLevelType w:val="hybridMultilevel"/>
    <w:tmpl w:val="8E6422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36BA7"/>
    <w:multiLevelType w:val="hybridMultilevel"/>
    <w:tmpl w:val="D0EEBD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B3A3C"/>
    <w:multiLevelType w:val="hybridMultilevel"/>
    <w:tmpl w:val="98DA5E32"/>
    <w:lvl w:ilvl="0" w:tplc="E96C8E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6478A9"/>
    <w:multiLevelType w:val="hybridMultilevel"/>
    <w:tmpl w:val="739CAE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353CB"/>
    <w:multiLevelType w:val="hybridMultilevel"/>
    <w:tmpl w:val="FF5E669E"/>
    <w:lvl w:ilvl="0" w:tplc="DE723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F37230"/>
    <w:multiLevelType w:val="hybridMultilevel"/>
    <w:tmpl w:val="8FF633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F3A3A"/>
    <w:multiLevelType w:val="hybridMultilevel"/>
    <w:tmpl w:val="F4DC50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66F42"/>
    <w:multiLevelType w:val="hybridMultilevel"/>
    <w:tmpl w:val="1B34F5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0418D"/>
    <w:multiLevelType w:val="hybridMultilevel"/>
    <w:tmpl w:val="8E6422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B6738"/>
    <w:multiLevelType w:val="hybridMultilevel"/>
    <w:tmpl w:val="33E099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677CF"/>
    <w:multiLevelType w:val="hybridMultilevel"/>
    <w:tmpl w:val="FF5E669E"/>
    <w:lvl w:ilvl="0" w:tplc="DE723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9E63EE"/>
    <w:multiLevelType w:val="hybridMultilevel"/>
    <w:tmpl w:val="8E6422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D83B4E"/>
    <w:multiLevelType w:val="hybridMultilevel"/>
    <w:tmpl w:val="0874A4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1E30B2"/>
    <w:multiLevelType w:val="hybridMultilevel"/>
    <w:tmpl w:val="5538CCA6"/>
    <w:lvl w:ilvl="0" w:tplc="9762EE6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E9278D"/>
    <w:multiLevelType w:val="hybridMultilevel"/>
    <w:tmpl w:val="2188D8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7"/>
  </w:num>
  <w:num w:numId="5">
    <w:abstractNumId w:val="14"/>
  </w:num>
  <w:num w:numId="6">
    <w:abstractNumId w:val="19"/>
  </w:num>
  <w:num w:numId="7">
    <w:abstractNumId w:val="17"/>
  </w:num>
  <w:num w:numId="8">
    <w:abstractNumId w:val="13"/>
  </w:num>
  <w:num w:numId="9">
    <w:abstractNumId w:val="11"/>
  </w:num>
  <w:num w:numId="10">
    <w:abstractNumId w:val="9"/>
  </w:num>
  <w:num w:numId="11">
    <w:abstractNumId w:val="6"/>
  </w:num>
  <w:num w:numId="12">
    <w:abstractNumId w:val="2"/>
  </w:num>
  <w:num w:numId="13">
    <w:abstractNumId w:val="20"/>
  </w:num>
  <w:num w:numId="14">
    <w:abstractNumId w:val="16"/>
  </w:num>
  <w:num w:numId="15">
    <w:abstractNumId w:val="8"/>
  </w:num>
  <w:num w:numId="16">
    <w:abstractNumId w:val="12"/>
  </w:num>
  <w:num w:numId="17">
    <w:abstractNumId w:val="18"/>
  </w:num>
  <w:num w:numId="18">
    <w:abstractNumId w:val="21"/>
  </w:num>
  <w:num w:numId="19">
    <w:abstractNumId w:val="3"/>
  </w:num>
  <w:num w:numId="20">
    <w:abstractNumId w:val="10"/>
  </w:num>
  <w:num w:numId="21">
    <w:abstractNumId w:val="5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0B0"/>
    <w:rsid w:val="000010C2"/>
    <w:rsid w:val="000070A4"/>
    <w:rsid w:val="00011CB1"/>
    <w:rsid w:val="00013CB5"/>
    <w:rsid w:val="00034938"/>
    <w:rsid w:val="000364A1"/>
    <w:rsid w:val="000439E0"/>
    <w:rsid w:val="0005040E"/>
    <w:rsid w:val="00052E1A"/>
    <w:rsid w:val="0005654E"/>
    <w:rsid w:val="0007084E"/>
    <w:rsid w:val="00096B4A"/>
    <w:rsid w:val="000A3098"/>
    <w:rsid w:val="000B087E"/>
    <w:rsid w:val="000B2F73"/>
    <w:rsid w:val="000B30A9"/>
    <w:rsid w:val="000B5B21"/>
    <w:rsid w:val="000E11DC"/>
    <w:rsid w:val="000E15AB"/>
    <w:rsid w:val="000F6B59"/>
    <w:rsid w:val="00111B49"/>
    <w:rsid w:val="00125DD7"/>
    <w:rsid w:val="0013487D"/>
    <w:rsid w:val="00154C86"/>
    <w:rsid w:val="00175B0E"/>
    <w:rsid w:val="001A0257"/>
    <w:rsid w:val="001C0D01"/>
    <w:rsid w:val="001D3895"/>
    <w:rsid w:val="00205188"/>
    <w:rsid w:val="00225FD5"/>
    <w:rsid w:val="002360B0"/>
    <w:rsid w:val="00241792"/>
    <w:rsid w:val="00245C71"/>
    <w:rsid w:val="00254314"/>
    <w:rsid w:val="002645CF"/>
    <w:rsid w:val="00275985"/>
    <w:rsid w:val="0028748A"/>
    <w:rsid w:val="002B3A6B"/>
    <w:rsid w:val="002B3DEE"/>
    <w:rsid w:val="002D1E5E"/>
    <w:rsid w:val="00324E28"/>
    <w:rsid w:val="00345955"/>
    <w:rsid w:val="00350C05"/>
    <w:rsid w:val="003635C9"/>
    <w:rsid w:val="003675BD"/>
    <w:rsid w:val="003A0505"/>
    <w:rsid w:val="003A1279"/>
    <w:rsid w:val="003B1C4C"/>
    <w:rsid w:val="003C4EF9"/>
    <w:rsid w:val="00400B3F"/>
    <w:rsid w:val="004147AA"/>
    <w:rsid w:val="0044153A"/>
    <w:rsid w:val="004455EA"/>
    <w:rsid w:val="00467348"/>
    <w:rsid w:val="004D3A07"/>
    <w:rsid w:val="004D7534"/>
    <w:rsid w:val="004F1178"/>
    <w:rsid w:val="00505760"/>
    <w:rsid w:val="005359AC"/>
    <w:rsid w:val="00541A86"/>
    <w:rsid w:val="005457A9"/>
    <w:rsid w:val="00564752"/>
    <w:rsid w:val="00571121"/>
    <w:rsid w:val="00597A2D"/>
    <w:rsid w:val="005A0CAC"/>
    <w:rsid w:val="005A3321"/>
    <w:rsid w:val="005B4C3A"/>
    <w:rsid w:val="005C396D"/>
    <w:rsid w:val="005F7C78"/>
    <w:rsid w:val="00606956"/>
    <w:rsid w:val="006266F8"/>
    <w:rsid w:val="00630EDA"/>
    <w:rsid w:val="006434E7"/>
    <w:rsid w:val="0065766A"/>
    <w:rsid w:val="006643CF"/>
    <w:rsid w:val="0066765E"/>
    <w:rsid w:val="00667676"/>
    <w:rsid w:val="00677B21"/>
    <w:rsid w:val="006A4450"/>
    <w:rsid w:val="006A7E30"/>
    <w:rsid w:val="006D6BC1"/>
    <w:rsid w:val="006F26F4"/>
    <w:rsid w:val="006F416A"/>
    <w:rsid w:val="006F7D49"/>
    <w:rsid w:val="00705465"/>
    <w:rsid w:val="00721BBB"/>
    <w:rsid w:val="00760F95"/>
    <w:rsid w:val="00775EC2"/>
    <w:rsid w:val="00777FC2"/>
    <w:rsid w:val="00782B47"/>
    <w:rsid w:val="00796FD7"/>
    <w:rsid w:val="007A22C8"/>
    <w:rsid w:val="007B076E"/>
    <w:rsid w:val="007B2758"/>
    <w:rsid w:val="007C52EC"/>
    <w:rsid w:val="007D2873"/>
    <w:rsid w:val="007D5B5E"/>
    <w:rsid w:val="007E3601"/>
    <w:rsid w:val="007E369C"/>
    <w:rsid w:val="00814CB4"/>
    <w:rsid w:val="0081606A"/>
    <w:rsid w:val="00832330"/>
    <w:rsid w:val="00863078"/>
    <w:rsid w:val="00880EE8"/>
    <w:rsid w:val="008963F6"/>
    <w:rsid w:val="008D7E2F"/>
    <w:rsid w:val="00904CC3"/>
    <w:rsid w:val="00921516"/>
    <w:rsid w:val="00921DBE"/>
    <w:rsid w:val="00944035"/>
    <w:rsid w:val="00944755"/>
    <w:rsid w:val="0095166A"/>
    <w:rsid w:val="00952122"/>
    <w:rsid w:val="009533C1"/>
    <w:rsid w:val="009537AC"/>
    <w:rsid w:val="009615FF"/>
    <w:rsid w:val="00965CBE"/>
    <w:rsid w:val="009701D9"/>
    <w:rsid w:val="00972CDD"/>
    <w:rsid w:val="009777F4"/>
    <w:rsid w:val="009A06BD"/>
    <w:rsid w:val="009A5E46"/>
    <w:rsid w:val="009C07D4"/>
    <w:rsid w:val="009C20F0"/>
    <w:rsid w:val="009C6B2A"/>
    <w:rsid w:val="009D1284"/>
    <w:rsid w:val="009F1BE7"/>
    <w:rsid w:val="00A0002D"/>
    <w:rsid w:val="00A0601A"/>
    <w:rsid w:val="00A15A4E"/>
    <w:rsid w:val="00A16587"/>
    <w:rsid w:val="00A21343"/>
    <w:rsid w:val="00A24CA8"/>
    <w:rsid w:val="00A46186"/>
    <w:rsid w:val="00A4777F"/>
    <w:rsid w:val="00A5592C"/>
    <w:rsid w:val="00A74630"/>
    <w:rsid w:val="00A746ED"/>
    <w:rsid w:val="00A860D2"/>
    <w:rsid w:val="00A918A5"/>
    <w:rsid w:val="00A9241E"/>
    <w:rsid w:val="00AA3DAF"/>
    <w:rsid w:val="00AA5E1D"/>
    <w:rsid w:val="00AA6930"/>
    <w:rsid w:val="00AC7586"/>
    <w:rsid w:val="00AD0D88"/>
    <w:rsid w:val="00AD45A5"/>
    <w:rsid w:val="00AD5079"/>
    <w:rsid w:val="00AE63F0"/>
    <w:rsid w:val="00AF1553"/>
    <w:rsid w:val="00AF4B3B"/>
    <w:rsid w:val="00AF6A70"/>
    <w:rsid w:val="00B033E3"/>
    <w:rsid w:val="00B17D76"/>
    <w:rsid w:val="00B23AB1"/>
    <w:rsid w:val="00B265D1"/>
    <w:rsid w:val="00B305B0"/>
    <w:rsid w:val="00B50448"/>
    <w:rsid w:val="00B560BE"/>
    <w:rsid w:val="00B56F53"/>
    <w:rsid w:val="00B6634F"/>
    <w:rsid w:val="00B73B3E"/>
    <w:rsid w:val="00B76F75"/>
    <w:rsid w:val="00B77F1D"/>
    <w:rsid w:val="00B93D32"/>
    <w:rsid w:val="00B9730D"/>
    <w:rsid w:val="00BD3765"/>
    <w:rsid w:val="00BD47CD"/>
    <w:rsid w:val="00BF127B"/>
    <w:rsid w:val="00C03AAC"/>
    <w:rsid w:val="00C15F18"/>
    <w:rsid w:val="00C43D20"/>
    <w:rsid w:val="00C44D6B"/>
    <w:rsid w:val="00C529F0"/>
    <w:rsid w:val="00C55A95"/>
    <w:rsid w:val="00C7057B"/>
    <w:rsid w:val="00C94682"/>
    <w:rsid w:val="00CA30BB"/>
    <w:rsid w:val="00CA593C"/>
    <w:rsid w:val="00CA6311"/>
    <w:rsid w:val="00CA6427"/>
    <w:rsid w:val="00CC03FE"/>
    <w:rsid w:val="00CD50EE"/>
    <w:rsid w:val="00CE0B11"/>
    <w:rsid w:val="00CF485E"/>
    <w:rsid w:val="00CF773E"/>
    <w:rsid w:val="00D144A4"/>
    <w:rsid w:val="00D30213"/>
    <w:rsid w:val="00D35267"/>
    <w:rsid w:val="00D512D0"/>
    <w:rsid w:val="00D642EF"/>
    <w:rsid w:val="00D66CBD"/>
    <w:rsid w:val="00D70557"/>
    <w:rsid w:val="00D83674"/>
    <w:rsid w:val="00D95ED1"/>
    <w:rsid w:val="00DB4EB7"/>
    <w:rsid w:val="00DD5550"/>
    <w:rsid w:val="00DE4852"/>
    <w:rsid w:val="00DE4C11"/>
    <w:rsid w:val="00DF648B"/>
    <w:rsid w:val="00E01EB2"/>
    <w:rsid w:val="00E02F71"/>
    <w:rsid w:val="00E03C62"/>
    <w:rsid w:val="00E26F4D"/>
    <w:rsid w:val="00E4233B"/>
    <w:rsid w:val="00E4305C"/>
    <w:rsid w:val="00E73811"/>
    <w:rsid w:val="00E844EF"/>
    <w:rsid w:val="00E94030"/>
    <w:rsid w:val="00E9798B"/>
    <w:rsid w:val="00EB7090"/>
    <w:rsid w:val="00EE6698"/>
    <w:rsid w:val="00EF6CD8"/>
    <w:rsid w:val="00F101F9"/>
    <w:rsid w:val="00F13BD1"/>
    <w:rsid w:val="00F158AB"/>
    <w:rsid w:val="00F224DC"/>
    <w:rsid w:val="00F24D8A"/>
    <w:rsid w:val="00F35E16"/>
    <w:rsid w:val="00F4691E"/>
    <w:rsid w:val="00F50E0E"/>
    <w:rsid w:val="00F653E6"/>
    <w:rsid w:val="00F71419"/>
    <w:rsid w:val="00F74F3A"/>
    <w:rsid w:val="00F75D68"/>
    <w:rsid w:val="00F81D35"/>
    <w:rsid w:val="00F8629E"/>
    <w:rsid w:val="00F86426"/>
    <w:rsid w:val="00FB6551"/>
    <w:rsid w:val="00FB6CB1"/>
    <w:rsid w:val="00FD13EF"/>
    <w:rsid w:val="00FF3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3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E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4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5A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D5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504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040E"/>
  </w:style>
  <w:style w:type="paragraph" w:styleId="Piedepgina">
    <w:name w:val="footer"/>
    <w:basedOn w:val="Normal"/>
    <w:link w:val="PiedepginaCar"/>
    <w:uiPriority w:val="99"/>
    <w:unhideWhenUsed/>
    <w:rsid w:val="000504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40E"/>
  </w:style>
  <w:style w:type="character" w:styleId="Hipervnculo">
    <w:name w:val="Hyperlink"/>
    <w:basedOn w:val="Fuentedeprrafopredeter"/>
    <w:uiPriority w:val="99"/>
    <w:unhideWhenUsed/>
    <w:rsid w:val="000439E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venestlaq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1811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Instituto Juventud</cp:lastModifiedBy>
  <cp:revision>80</cp:revision>
  <cp:lastPrinted>2016-02-09T18:03:00Z</cp:lastPrinted>
  <dcterms:created xsi:type="dcterms:W3CDTF">2016-07-28T14:57:00Z</dcterms:created>
  <dcterms:modified xsi:type="dcterms:W3CDTF">2017-03-22T17:00:00Z</dcterms:modified>
</cp:coreProperties>
</file>